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2B87" w:rsidRDefault="00EF2B87" w:rsidP="00EF2B87">
      <w:pPr>
        <w:jc w:val="both"/>
        <w:rPr>
          <w:rFonts w:ascii="Arial" w:hAnsi="Arial" w:cs="Arial"/>
        </w:rPr>
      </w:pP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7325"/>
        <w:gridCol w:w="1095"/>
      </w:tblGrid>
      <w:tr w:rsidR="00781C40" w:rsidRPr="00781C40" w:rsidTr="00781C40">
        <w:trPr>
          <w:trHeight w:val="300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t>* PREVENTIVO ESERCIZIO FINANZIARIO  2024 *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* ENTRATE*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Capitolo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Euro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Avanzo di gestione esercizio finanziario precedente (banca)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414.907,00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Avanzo di gestione esercizio finanziario precedente (cassa)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29,00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avanzo anno precedente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414.936,00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 - Entrate correnti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Entrate Contributive a carico degli iscritti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060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Tassa Collegiale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169.712,00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. III - Quote di </w:t>
            </w: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partecipaz.degli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iscritti all'onere di particolari gestioni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Entrate diverse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IX - Redditi e proventi patrimoniali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Interessi attivi su depositi e conti correnti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X - Poste correttive e compensative di uscite correnti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XI - Entrate non classificabili in altre voci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080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Oblazioni Archivio Notarile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2.500,00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010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Recuperi e rimborsi vari (Iscrizioni)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 - Entrate correnti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172.217,00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II- Entrate in Conto Capitale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II- Entrate in Conto Capitale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III- Partite di giro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Entrate aventi natura di partite di giro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III- Partite di giro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Entrate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172.217,00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generale (Entrate + avanzo di gestione iniziale)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587.153,00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* USCITE*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 - Uscite correnti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Uscite per gli organi dell'Ente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II - Oneri per il personale dipendente e collaborazioni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090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per il personale dipendente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61.600,00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090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per il personale in somministrazione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24.000,00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Erogazioni di T.F.R.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Compensi a collaboratori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Rimborsi spese di trasferta a dipendenti (trasporti, viaggi etc.)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Rimborsi spese di trasferta a collaboratori (trasporti, viaggi etc.)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III - Uscite per l'acquisto di beni di consumo e servizi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libri, quotidiani e pubblicazioni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290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Materiali di consumo, spese di cancelleria e varie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300,00</w:t>
            </w:r>
          </w:p>
        </w:tc>
      </w:tr>
      <w:tr w:rsidR="00781C40" w:rsidRPr="00781C40" w:rsidTr="00781C40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270-275-550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Prestazioni professionali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20.000,00</w:t>
            </w:r>
          </w:p>
        </w:tc>
      </w:tr>
      <w:tr w:rsidR="00781C40" w:rsidRPr="00781C40" w:rsidTr="00781C40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120-140-300-430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Spese telefoniche, energia elettrica, </w:t>
            </w:r>
            <w:proofErr w:type="spellStart"/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collegam.telematici</w:t>
            </w:r>
            <w:proofErr w:type="spellEnd"/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, spese postali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3.000,00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560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Premi di assicurazione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1.100,00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di viaggio e trasferte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460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di rappresentanza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3.500,00</w:t>
            </w:r>
          </w:p>
        </w:tc>
      </w:tr>
      <w:tr w:rsidR="00781C40" w:rsidRPr="00781C40" w:rsidTr="00781C40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030-072-130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di affitto, oneri condominiali, pulizia e varie immobili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14.000,00</w:t>
            </w:r>
          </w:p>
        </w:tc>
      </w:tr>
      <w:tr w:rsidR="00781C40" w:rsidRPr="00781C40" w:rsidTr="00781C40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320-380-470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di manutenzione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2.000,00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500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varie non diversamente classificabili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IV - Uscite per contributi e prestazioni istituzionali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Contributo COREDI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32.243,00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V - Uscite per servizi vari agli iscritti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VI - Oneri finanziari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330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Spese e </w:t>
            </w:r>
            <w:proofErr w:type="spellStart"/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commissini</w:t>
            </w:r>
            <w:proofErr w:type="spellEnd"/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c/c e postali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650,00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Interessi passivi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VII - Oneri tributari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580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IRAP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6.000,00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IVA split payment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2.800,00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280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Imposte comunali, di bollo e varie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2.000,00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. VIII - Uscite per attività di formazione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450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Spese varie per organizzazione di congressi/convegni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3.000,00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VIII - Uscite per spese non classificabili in altre voci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100-580-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Multe e sanzioni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500,00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 - Uscite correnti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176.693,00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II - Uscite per spese in conto capitale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Uscite per acquisti di Immobilizzazioni tecniche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Immobilizzazioni immateriali: software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Immobilizzazioni materiali: mobili e arredi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410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Acquisti di Immobilizzazioni materiali: macchine da </w:t>
            </w:r>
            <w:proofErr w:type="spellStart"/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uff.elettroniche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1.000,00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Immobilizzazioni materiali: attrezzature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Acquisti di Immobilizzazioni materiali: altri beni strumentali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Titolo II - Uscite per spese in conto capitale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1.000,00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Titolo III - Partite di giro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. I - Uscite aventi natura di partite di giro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fiscali dipendenti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fiscali autonomi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Ritenute previdenziali e assistenziali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TotaleTitolo</w:t>
            </w:r>
            <w:proofErr w:type="spellEnd"/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III - Partite di giro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Uscite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177.693,00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Avanzo di gestione previsto (banca)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409.460,00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Avanzo di gestione previsto(cassa)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avanzo esercizio finanziario corrente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409.460,00</w:t>
            </w:r>
          </w:p>
        </w:tc>
      </w:tr>
      <w:tr w:rsidR="00781C40" w:rsidRPr="00781C40" w:rsidTr="00781C40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Totale generale (Uscite + avanzo di gestione finale)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C40" w:rsidRPr="00781C40" w:rsidRDefault="00781C40" w:rsidP="00781C4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81C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587.153,00</w:t>
            </w:r>
          </w:p>
        </w:tc>
      </w:tr>
    </w:tbl>
    <w:p w:rsidR="00EF2B87" w:rsidRPr="00EF2B87" w:rsidRDefault="00EF2B87" w:rsidP="00EF2B87">
      <w:pPr>
        <w:jc w:val="both"/>
        <w:rPr>
          <w:rFonts w:ascii="Arial" w:hAnsi="Arial" w:cs="Arial"/>
        </w:rPr>
      </w:pPr>
    </w:p>
    <w:p w:rsidR="00781C40" w:rsidRDefault="00781C4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page"/>
      </w:r>
    </w:p>
    <w:p w:rsidR="00AB361F" w:rsidRPr="00556C54" w:rsidRDefault="007F7FFB" w:rsidP="00556C54">
      <w:pPr>
        <w:jc w:val="center"/>
        <w:rPr>
          <w:rFonts w:ascii="Arial" w:hAnsi="Arial" w:cs="Arial"/>
          <w:b/>
          <w:i/>
        </w:rPr>
      </w:pPr>
      <w:r w:rsidRPr="00556C54">
        <w:rPr>
          <w:rFonts w:ascii="Arial" w:hAnsi="Arial" w:cs="Arial"/>
          <w:b/>
          <w:i/>
        </w:rPr>
        <w:lastRenderedPageBreak/>
        <w:t xml:space="preserve">Relazione al </w:t>
      </w:r>
      <w:r w:rsidR="00DE715F">
        <w:rPr>
          <w:rFonts w:ascii="Arial" w:hAnsi="Arial" w:cs="Arial"/>
          <w:b/>
          <w:i/>
        </w:rPr>
        <w:t>preventivo</w:t>
      </w:r>
      <w:r w:rsidRPr="00556C54">
        <w:rPr>
          <w:rFonts w:ascii="Arial" w:hAnsi="Arial" w:cs="Arial"/>
          <w:b/>
          <w:i/>
        </w:rPr>
        <w:t xml:space="preserve"> </w:t>
      </w:r>
      <w:r w:rsidR="002D6044">
        <w:rPr>
          <w:rFonts w:ascii="Arial" w:hAnsi="Arial" w:cs="Arial"/>
          <w:b/>
          <w:i/>
        </w:rPr>
        <w:t xml:space="preserve">dell’esercizio finanziario </w:t>
      </w:r>
      <w:r w:rsidR="00DE715F">
        <w:rPr>
          <w:rFonts w:ascii="Arial" w:hAnsi="Arial" w:cs="Arial"/>
          <w:b/>
          <w:i/>
        </w:rPr>
        <w:t>2024</w:t>
      </w:r>
    </w:p>
    <w:p w:rsidR="007F7FFB" w:rsidRDefault="007F7FFB" w:rsidP="00DD0D6E">
      <w:pPr>
        <w:jc w:val="both"/>
        <w:rPr>
          <w:rFonts w:ascii="Arial" w:hAnsi="Arial" w:cs="Arial"/>
        </w:rPr>
      </w:pPr>
    </w:p>
    <w:p w:rsidR="00937CAB" w:rsidRPr="00937CAB" w:rsidRDefault="00937CAB" w:rsidP="00937CA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937CAB">
        <w:rPr>
          <w:rFonts w:ascii="Arial" w:hAnsi="Arial" w:cs="Arial"/>
          <w:b/>
        </w:rPr>
        <w:t>Introduzione</w:t>
      </w:r>
    </w:p>
    <w:p w:rsidR="007F7FFB" w:rsidRDefault="006F747D" w:rsidP="00DD0D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 la redazione del</w:t>
      </w:r>
      <w:r w:rsidR="00937CAB">
        <w:rPr>
          <w:rFonts w:ascii="Arial" w:hAnsi="Arial" w:cs="Arial"/>
        </w:rPr>
        <w:t xml:space="preserve"> </w:t>
      </w:r>
      <w:r w:rsidR="00113AA4">
        <w:rPr>
          <w:rFonts w:ascii="Arial" w:hAnsi="Arial" w:cs="Arial"/>
        </w:rPr>
        <w:t xml:space="preserve">preventivo dell’esercizio finanziario 2024, così come per il </w:t>
      </w:r>
      <w:r w:rsidR="007F7FFB">
        <w:rPr>
          <w:rFonts w:ascii="Arial" w:hAnsi="Arial" w:cs="Arial"/>
        </w:rPr>
        <w:t>consuntivo</w:t>
      </w:r>
      <w:r w:rsidR="00113AA4">
        <w:rPr>
          <w:rFonts w:ascii="Arial" w:hAnsi="Arial" w:cs="Arial"/>
        </w:rPr>
        <w:t>,</w:t>
      </w:r>
      <w:r w:rsidR="007F7F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 è fatto ricorso a</w:t>
      </w:r>
      <w:r w:rsidR="007F7FFB">
        <w:rPr>
          <w:rFonts w:ascii="Arial" w:hAnsi="Arial" w:cs="Arial"/>
        </w:rPr>
        <w:t xml:space="preserve"> modelli contabili analoghi a quelli </w:t>
      </w:r>
      <w:r w:rsidR="007638D5">
        <w:rPr>
          <w:rFonts w:ascii="Arial" w:hAnsi="Arial" w:cs="Arial"/>
        </w:rPr>
        <w:t xml:space="preserve">che la normativa di settore ha previsto per </w:t>
      </w:r>
      <w:r w:rsidR="007F7FFB">
        <w:rPr>
          <w:rFonts w:ascii="Arial" w:hAnsi="Arial" w:cs="Arial"/>
        </w:rPr>
        <w:t>gli Enti Pubblici Istituzionali, con le opportune semplificazioni suggerite dalla natura giuridica del Consiglio</w:t>
      </w:r>
      <w:r w:rsidR="00DD0D6E">
        <w:rPr>
          <w:rFonts w:ascii="Arial" w:hAnsi="Arial" w:cs="Arial"/>
        </w:rPr>
        <w:t xml:space="preserve"> Notarile</w:t>
      </w:r>
      <w:r w:rsidR="001D7935">
        <w:rPr>
          <w:rFonts w:ascii="Arial" w:hAnsi="Arial" w:cs="Arial"/>
        </w:rPr>
        <w:t>.</w:t>
      </w:r>
    </w:p>
    <w:p w:rsidR="00937CAB" w:rsidRDefault="00937CAB" w:rsidP="00937CAB">
      <w:pPr>
        <w:jc w:val="both"/>
        <w:rPr>
          <w:rFonts w:ascii="Arial" w:hAnsi="Arial" w:cs="Arial"/>
        </w:rPr>
      </w:pPr>
    </w:p>
    <w:p w:rsidR="00937CAB" w:rsidRPr="007638D5" w:rsidRDefault="00937CAB" w:rsidP="00937CA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7638D5">
        <w:rPr>
          <w:rFonts w:ascii="Arial" w:hAnsi="Arial" w:cs="Arial"/>
          <w:b/>
        </w:rPr>
        <w:t xml:space="preserve">Analisi del </w:t>
      </w:r>
      <w:r w:rsidR="00113AA4">
        <w:rPr>
          <w:rFonts w:ascii="Arial" w:hAnsi="Arial" w:cs="Arial"/>
          <w:b/>
        </w:rPr>
        <w:t>preventivo</w:t>
      </w:r>
    </w:p>
    <w:p w:rsidR="00F1161D" w:rsidRDefault="00967650" w:rsidP="00F1161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="00113AA4">
        <w:rPr>
          <w:rFonts w:ascii="Arial" w:hAnsi="Arial" w:cs="Arial"/>
        </w:rPr>
        <w:t>Preventivo</w:t>
      </w:r>
      <w:r>
        <w:rPr>
          <w:rFonts w:ascii="Arial" w:hAnsi="Arial" w:cs="Arial"/>
        </w:rPr>
        <w:t xml:space="preserve"> Finanziario </w:t>
      </w:r>
      <w:r w:rsidR="00D12A0B">
        <w:rPr>
          <w:rFonts w:ascii="Arial" w:hAnsi="Arial" w:cs="Arial"/>
        </w:rPr>
        <w:t>evidenzia</w:t>
      </w:r>
      <w:r>
        <w:rPr>
          <w:rFonts w:ascii="Arial" w:hAnsi="Arial" w:cs="Arial"/>
        </w:rPr>
        <w:t xml:space="preserve"> un “avanzo di cassa” </w:t>
      </w:r>
      <w:r w:rsidR="00113AA4">
        <w:rPr>
          <w:rFonts w:ascii="Arial" w:hAnsi="Arial" w:cs="Arial"/>
        </w:rPr>
        <w:t xml:space="preserve">di fine esercizio </w:t>
      </w:r>
      <w:r>
        <w:rPr>
          <w:rFonts w:ascii="Arial" w:hAnsi="Arial" w:cs="Arial"/>
        </w:rPr>
        <w:t xml:space="preserve">di Euro </w:t>
      </w:r>
      <w:r w:rsidR="000D1051">
        <w:rPr>
          <w:rFonts w:ascii="Arial" w:hAnsi="Arial" w:cs="Arial"/>
        </w:rPr>
        <w:t>409.460</w:t>
      </w:r>
      <w:r w:rsidR="00113AA4">
        <w:rPr>
          <w:rFonts w:ascii="Arial" w:hAnsi="Arial" w:cs="Arial"/>
        </w:rPr>
        <w:t xml:space="preserve">,00, in </w:t>
      </w:r>
      <w:r w:rsidR="00B76631">
        <w:rPr>
          <w:rFonts w:ascii="Arial" w:hAnsi="Arial" w:cs="Arial"/>
        </w:rPr>
        <w:t>lieve calo rispetto al</w:t>
      </w:r>
      <w:r w:rsidR="00113AA4">
        <w:rPr>
          <w:rFonts w:ascii="Arial" w:hAnsi="Arial" w:cs="Arial"/>
        </w:rPr>
        <w:t>l’avanzo di inizio esercizio</w:t>
      </w:r>
      <w:r w:rsidR="00B76631">
        <w:rPr>
          <w:rFonts w:ascii="Arial" w:hAnsi="Arial" w:cs="Arial"/>
        </w:rPr>
        <w:t xml:space="preserve"> (Euro 414.9</w:t>
      </w:r>
      <w:r w:rsidR="00897609">
        <w:rPr>
          <w:rFonts w:ascii="Arial" w:hAnsi="Arial" w:cs="Arial"/>
        </w:rPr>
        <w:t>36</w:t>
      </w:r>
      <w:r w:rsidR="00B76631">
        <w:rPr>
          <w:rFonts w:ascii="Arial" w:hAnsi="Arial" w:cs="Arial"/>
        </w:rPr>
        <w:t>,00)</w:t>
      </w:r>
      <w:r w:rsidR="00294EF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A6BA6" w:rsidRDefault="00CA6BA6" w:rsidP="00937CA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Riguardo le singole voci del documento si propongono le seguenti osservazioni:</w:t>
      </w:r>
    </w:p>
    <w:p w:rsidR="00B04157" w:rsidRDefault="00CA6BA6" w:rsidP="00CA6BA6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 le “</w:t>
      </w:r>
      <w:r w:rsidRPr="00C257AB">
        <w:rPr>
          <w:rFonts w:ascii="Arial" w:hAnsi="Arial" w:cs="Arial"/>
          <w:b/>
        </w:rPr>
        <w:t>Entrate</w:t>
      </w:r>
      <w:r>
        <w:rPr>
          <w:rFonts w:ascii="Arial" w:hAnsi="Arial" w:cs="Arial"/>
        </w:rPr>
        <w:t>”:</w:t>
      </w:r>
    </w:p>
    <w:p w:rsidR="00113AA4" w:rsidRDefault="007549DE" w:rsidP="00113AA4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introiti per “tassa collegiale” </w:t>
      </w:r>
      <w:r w:rsidR="00113AA4">
        <w:rPr>
          <w:rFonts w:ascii="Arial" w:hAnsi="Arial" w:cs="Arial"/>
        </w:rPr>
        <w:t>dovuta</w:t>
      </w:r>
      <w:r>
        <w:rPr>
          <w:rFonts w:ascii="Arial" w:hAnsi="Arial" w:cs="Arial"/>
        </w:rPr>
        <w:t xml:space="preserve"> dagli iscritti sono stati </w:t>
      </w:r>
      <w:r w:rsidR="00113AA4">
        <w:rPr>
          <w:rFonts w:ascii="Arial" w:hAnsi="Arial" w:cs="Arial"/>
        </w:rPr>
        <w:t xml:space="preserve">previsti in misura </w:t>
      </w:r>
      <w:r>
        <w:rPr>
          <w:rFonts w:ascii="Arial" w:hAnsi="Arial" w:cs="Arial"/>
        </w:rPr>
        <w:t xml:space="preserve">pari a Euro </w:t>
      </w:r>
      <w:r w:rsidR="00113AA4">
        <w:rPr>
          <w:rFonts w:ascii="Arial" w:hAnsi="Arial" w:cs="Arial"/>
        </w:rPr>
        <w:t xml:space="preserve">169.712,00, in flessione rispetto al dato a consuntivo dell’esercizio finanziario precedente (Euro </w:t>
      </w:r>
      <w:r>
        <w:rPr>
          <w:rFonts w:ascii="Arial" w:hAnsi="Arial" w:cs="Arial"/>
        </w:rPr>
        <w:t>198.474,62</w:t>
      </w:r>
      <w:r w:rsidR="00EF2B87">
        <w:rPr>
          <w:rFonts w:ascii="Arial" w:hAnsi="Arial" w:cs="Arial"/>
        </w:rPr>
        <w:t>).</w:t>
      </w:r>
    </w:p>
    <w:p w:rsidR="007549DE" w:rsidRPr="007549DE" w:rsidRDefault="007549DE" w:rsidP="007549DE">
      <w:pPr>
        <w:ind w:left="1506"/>
        <w:jc w:val="both"/>
        <w:rPr>
          <w:rFonts w:ascii="Arial" w:hAnsi="Arial" w:cs="Arial"/>
        </w:rPr>
      </w:pPr>
    </w:p>
    <w:p w:rsidR="007549DE" w:rsidRDefault="007549DE" w:rsidP="007549DE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 le “</w:t>
      </w:r>
      <w:r w:rsidRPr="00C257AB">
        <w:rPr>
          <w:rFonts w:ascii="Arial" w:hAnsi="Arial" w:cs="Arial"/>
          <w:b/>
        </w:rPr>
        <w:t>Uscite</w:t>
      </w:r>
      <w:r w:rsidR="00684DF1" w:rsidRPr="00C257AB">
        <w:rPr>
          <w:rFonts w:ascii="Arial" w:hAnsi="Arial" w:cs="Arial"/>
          <w:b/>
        </w:rPr>
        <w:t xml:space="preserve"> per spese correnti</w:t>
      </w:r>
      <w:r>
        <w:rPr>
          <w:rFonts w:ascii="Arial" w:hAnsi="Arial" w:cs="Arial"/>
        </w:rPr>
        <w:t>”:</w:t>
      </w:r>
    </w:p>
    <w:p w:rsidR="00FC53BB" w:rsidRDefault="00FC53BB" w:rsidP="007549DE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oneri per il personale dipendente </w:t>
      </w:r>
      <w:r w:rsidR="00C7681C">
        <w:rPr>
          <w:rFonts w:ascii="Arial" w:hAnsi="Arial" w:cs="Arial"/>
        </w:rPr>
        <w:t xml:space="preserve">a libro paga dell’Ente </w:t>
      </w:r>
      <w:r w:rsidR="00B76631">
        <w:rPr>
          <w:rFonts w:ascii="Arial" w:hAnsi="Arial" w:cs="Arial"/>
        </w:rPr>
        <w:t xml:space="preserve">comprendono </w:t>
      </w:r>
      <w:r>
        <w:rPr>
          <w:rFonts w:ascii="Arial" w:hAnsi="Arial" w:cs="Arial"/>
        </w:rPr>
        <w:t xml:space="preserve">le retribuzioni </w:t>
      </w:r>
      <w:r w:rsidR="00EF2B87">
        <w:rPr>
          <w:rFonts w:ascii="Arial" w:hAnsi="Arial" w:cs="Arial"/>
        </w:rPr>
        <w:t>e i</w:t>
      </w:r>
      <w:r>
        <w:rPr>
          <w:rFonts w:ascii="Arial" w:hAnsi="Arial" w:cs="Arial"/>
        </w:rPr>
        <w:t xml:space="preserve"> contributi previdenziali e assistenziali</w:t>
      </w:r>
      <w:r w:rsidR="00B76631">
        <w:rPr>
          <w:rFonts w:ascii="Arial" w:hAnsi="Arial" w:cs="Arial"/>
        </w:rPr>
        <w:t>. La spesa registra un incremento dovuto all’onere dei buoni pasto che il Consiglio ha stabilito di riconoscere con decorrenza 2024</w:t>
      </w:r>
      <w:r>
        <w:rPr>
          <w:rFonts w:ascii="Arial" w:hAnsi="Arial" w:cs="Arial"/>
        </w:rPr>
        <w:t>. Trovano separata esposizione le spese relative al personale “in somministrazione”</w:t>
      </w:r>
      <w:r w:rsidR="00EF2B87">
        <w:rPr>
          <w:rFonts w:ascii="Arial" w:hAnsi="Arial" w:cs="Arial"/>
        </w:rPr>
        <w:t>, previst</w:t>
      </w:r>
      <w:r w:rsidR="00C7681C">
        <w:rPr>
          <w:rFonts w:ascii="Arial" w:hAnsi="Arial" w:cs="Arial"/>
        </w:rPr>
        <w:t>e</w:t>
      </w:r>
      <w:r w:rsidR="00EF2B87">
        <w:rPr>
          <w:rFonts w:ascii="Arial" w:hAnsi="Arial" w:cs="Arial"/>
        </w:rPr>
        <w:t xml:space="preserve"> in linea con quell</w:t>
      </w:r>
      <w:r w:rsidR="00C7681C">
        <w:rPr>
          <w:rFonts w:ascii="Arial" w:hAnsi="Arial" w:cs="Arial"/>
        </w:rPr>
        <w:t>e</w:t>
      </w:r>
      <w:r w:rsidR="00EF2B87">
        <w:rPr>
          <w:rFonts w:ascii="Arial" w:hAnsi="Arial" w:cs="Arial"/>
        </w:rPr>
        <w:t xml:space="preserve"> dell’esercizio finanziario precedente</w:t>
      </w:r>
      <w:r>
        <w:rPr>
          <w:rFonts w:ascii="Arial" w:hAnsi="Arial" w:cs="Arial"/>
        </w:rPr>
        <w:t>;</w:t>
      </w:r>
    </w:p>
    <w:p w:rsidR="007549DE" w:rsidRDefault="00FC53BB" w:rsidP="007549DE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spese per “Prestazioni professionali” sono per la gran parte costituite </w:t>
      </w:r>
      <w:r w:rsidR="00625EA2">
        <w:rPr>
          <w:rFonts w:ascii="Arial" w:hAnsi="Arial" w:cs="Arial"/>
        </w:rPr>
        <w:t xml:space="preserve">dagli emolumenti </w:t>
      </w:r>
      <w:r w:rsidR="00EF2B87">
        <w:rPr>
          <w:rFonts w:ascii="Arial" w:hAnsi="Arial" w:cs="Arial"/>
        </w:rPr>
        <w:t>previsti a favore de</w:t>
      </w:r>
      <w:r w:rsidR="00625EA2">
        <w:rPr>
          <w:rFonts w:ascii="Arial" w:hAnsi="Arial" w:cs="Arial"/>
        </w:rPr>
        <w:t xml:space="preserve">i Legali che hanno assistito o assistono l’Ente nei procedimenti presso i vari organismi giurisdizionali. Sono poi presenti le spese </w:t>
      </w:r>
      <w:r w:rsidR="00EF2B87">
        <w:rPr>
          <w:rFonts w:ascii="Arial" w:hAnsi="Arial" w:cs="Arial"/>
        </w:rPr>
        <w:t>da sostenere</w:t>
      </w:r>
      <w:r w:rsidR="00625EA2">
        <w:rPr>
          <w:rFonts w:ascii="Arial" w:hAnsi="Arial" w:cs="Arial"/>
        </w:rPr>
        <w:t xml:space="preserve"> per la consulenza del Dottore Commerciali</w:t>
      </w:r>
      <w:r w:rsidR="009C7233">
        <w:rPr>
          <w:rFonts w:ascii="Arial" w:hAnsi="Arial" w:cs="Arial"/>
        </w:rPr>
        <w:t>sta e del Consulente del Lavoro</w:t>
      </w:r>
      <w:r w:rsidR="00EF2B87">
        <w:rPr>
          <w:rFonts w:ascii="Arial" w:hAnsi="Arial" w:cs="Arial"/>
        </w:rPr>
        <w:t>. La spesa complessiva è prevista in calo rispetto al dato consuntivo precedente</w:t>
      </w:r>
      <w:r w:rsidR="009C7233">
        <w:rPr>
          <w:rFonts w:ascii="Arial" w:hAnsi="Arial" w:cs="Arial"/>
        </w:rPr>
        <w:t>;</w:t>
      </w:r>
    </w:p>
    <w:p w:rsidR="009C7233" w:rsidRDefault="00C755E0" w:rsidP="007549DE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“Contributo COREDI” </w:t>
      </w:r>
      <w:r w:rsidR="00C7681C">
        <w:rPr>
          <w:rFonts w:ascii="Arial" w:hAnsi="Arial" w:cs="Arial"/>
        </w:rPr>
        <w:t xml:space="preserve">è stato stimato in Euro 32.243,00, contro il valore di </w:t>
      </w:r>
      <w:r>
        <w:rPr>
          <w:rFonts w:ascii="Arial" w:hAnsi="Arial" w:cs="Arial"/>
        </w:rPr>
        <w:t>Euro 29.269,99</w:t>
      </w:r>
      <w:r w:rsidR="00C7681C">
        <w:rPr>
          <w:rFonts w:ascii="Arial" w:hAnsi="Arial" w:cs="Arial"/>
        </w:rPr>
        <w:t xml:space="preserve"> dell’esercizio finanziario 2023</w:t>
      </w:r>
      <w:r>
        <w:rPr>
          <w:rFonts w:ascii="Arial" w:hAnsi="Arial" w:cs="Arial"/>
        </w:rPr>
        <w:t>;</w:t>
      </w:r>
    </w:p>
    <w:p w:rsidR="00B910B1" w:rsidRDefault="00C755E0" w:rsidP="005B007E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quanto si riferisce agli “Oneri Tributari”, </w:t>
      </w:r>
      <w:r w:rsidR="005B007E">
        <w:rPr>
          <w:rFonts w:ascii="Arial" w:hAnsi="Arial" w:cs="Arial"/>
        </w:rPr>
        <w:t>l’IRAP è stata stimata sulla base dell</w:t>
      </w:r>
      <w:r w:rsidR="00F851E3">
        <w:rPr>
          <w:rFonts w:ascii="Arial" w:hAnsi="Arial" w:cs="Arial"/>
        </w:rPr>
        <w:t>a previsione delle</w:t>
      </w:r>
      <w:r w:rsidR="005B007E">
        <w:rPr>
          <w:rFonts w:ascii="Arial" w:hAnsi="Arial" w:cs="Arial"/>
        </w:rPr>
        <w:t xml:space="preserve"> retribuzioni, mentre l’IVA (in regime di </w:t>
      </w:r>
      <w:r w:rsidR="005B007E">
        <w:rPr>
          <w:rFonts w:ascii="Arial" w:hAnsi="Arial" w:cs="Arial"/>
          <w:i/>
        </w:rPr>
        <w:t xml:space="preserve">split </w:t>
      </w:r>
      <w:r w:rsidR="005B007E" w:rsidRPr="005B007E">
        <w:rPr>
          <w:rFonts w:ascii="Arial" w:hAnsi="Arial" w:cs="Arial"/>
          <w:i/>
        </w:rPr>
        <w:t>payment</w:t>
      </w:r>
      <w:r w:rsidR="005B007E">
        <w:rPr>
          <w:rFonts w:ascii="Arial" w:hAnsi="Arial" w:cs="Arial"/>
        </w:rPr>
        <w:t>) e le tasse varie sono in linea con il dato a consuntivo</w:t>
      </w:r>
      <w:r w:rsidR="00781C40">
        <w:rPr>
          <w:rFonts w:ascii="Arial" w:hAnsi="Arial" w:cs="Arial"/>
        </w:rPr>
        <w:t>;</w:t>
      </w:r>
    </w:p>
    <w:p w:rsidR="00781C40" w:rsidRPr="00B910B1" w:rsidRDefault="00781C40" w:rsidP="005B007E">
      <w:pPr>
        <w:pStyle w:val="Paragrafoelenco"/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 spese per attività di formazione sono state previste in linea con quanto consuntivato per l’esercizio finanziario 2023.</w:t>
      </w:r>
    </w:p>
    <w:p w:rsidR="00184099" w:rsidRPr="00184099" w:rsidRDefault="00184099" w:rsidP="00184099">
      <w:pPr>
        <w:ind w:left="786"/>
        <w:jc w:val="both"/>
        <w:rPr>
          <w:rFonts w:ascii="Arial" w:hAnsi="Arial" w:cs="Arial"/>
        </w:rPr>
      </w:pPr>
    </w:p>
    <w:p w:rsidR="00684DF1" w:rsidRDefault="00F851E3" w:rsidP="00684DF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Tra l</w:t>
      </w:r>
      <w:r w:rsidR="00684DF1">
        <w:rPr>
          <w:rFonts w:ascii="Arial" w:hAnsi="Arial" w:cs="Arial"/>
        </w:rPr>
        <w:t>e “</w:t>
      </w:r>
      <w:r w:rsidR="00684DF1" w:rsidRPr="00C257AB">
        <w:rPr>
          <w:rFonts w:ascii="Arial" w:hAnsi="Arial" w:cs="Arial"/>
          <w:b/>
        </w:rPr>
        <w:t>Uscite per spese in conto capitale</w:t>
      </w:r>
      <w:r w:rsidR="00684DF1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so</w:t>
      </w:r>
      <w:r w:rsidR="00170370">
        <w:rPr>
          <w:rFonts w:ascii="Arial" w:hAnsi="Arial" w:cs="Arial"/>
        </w:rPr>
        <w:t>n</w:t>
      </w:r>
      <w:r>
        <w:rPr>
          <w:rFonts w:ascii="Arial" w:hAnsi="Arial" w:cs="Arial"/>
        </w:rPr>
        <w:t>o stati previsti acquisti di modesta entità.</w:t>
      </w:r>
    </w:p>
    <w:p w:rsidR="00170370" w:rsidRPr="00170370" w:rsidRDefault="00170370" w:rsidP="00170370">
      <w:pPr>
        <w:ind w:left="786"/>
        <w:jc w:val="both"/>
        <w:rPr>
          <w:rFonts w:ascii="Arial" w:hAnsi="Arial" w:cs="Arial"/>
        </w:rPr>
      </w:pPr>
    </w:p>
    <w:p w:rsidR="00292301" w:rsidRDefault="00292301" w:rsidP="00292301">
      <w:pPr>
        <w:pStyle w:val="Paragrafoelenco"/>
        <w:numPr>
          <w:ilvl w:val="0"/>
          <w:numId w:val="3"/>
        </w:numPr>
        <w:jc w:val="both"/>
        <w:rPr>
          <w:rFonts w:ascii="Arial" w:hAnsi="Arial" w:cs="Arial"/>
        </w:rPr>
      </w:pPr>
      <w:r w:rsidRPr="00292301">
        <w:rPr>
          <w:rFonts w:ascii="Arial" w:hAnsi="Arial" w:cs="Arial"/>
        </w:rPr>
        <w:t>Le “</w:t>
      </w:r>
      <w:r w:rsidRPr="00C257AB">
        <w:rPr>
          <w:rFonts w:ascii="Arial" w:hAnsi="Arial" w:cs="Arial"/>
          <w:b/>
        </w:rPr>
        <w:t>Partite di Giro</w:t>
      </w:r>
      <w:r w:rsidRPr="00292301">
        <w:rPr>
          <w:rFonts w:ascii="Arial" w:hAnsi="Arial" w:cs="Arial"/>
        </w:rPr>
        <w:t>”</w:t>
      </w:r>
      <w:r w:rsidR="00F851E3">
        <w:rPr>
          <w:rFonts w:ascii="Arial" w:hAnsi="Arial" w:cs="Arial"/>
        </w:rPr>
        <w:t>, considerato che non incidono sulle disponibilità finanziarie dell’Ente, non sono state prese in considerazione.</w:t>
      </w:r>
      <w:r w:rsidRPr="00292301">
        <w:rPr>
          <w:rFonts w:ascii="Arial" w:hAnsi="Arial" w:cs="Arial"/>
        </w:rPr>
        <w:t xml:space="preserve"> </w:t>
      </w:r>
    </w:p>
    <w:p w:rsidR="008661D2" w:rsidRPr="008661D2" w:rsidRDefault="008661D2" w:rsidP="008661D2">
      <w:pPr>
        <w:pStyle w:val="Paragrafoelenco"/>
        <w:rPr>
          <w:rFonts w:ascii="Arial" w:hAnsi="Arial" w:cs="Arial"/>
        </w:rPr>
      </w:pPr>
    </w:p>
    <w:p w:rsidR="008661D2" w:rsidRDefault="008661D2" w:rsidP="008661D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Cagliari, 22 febbraio 2024</w:t>
      </w:r>
    </w:p>
    <w:p w:rsidR="008661D2" w:rsidRDefault="008661D2" w:rsidP="008661D2">
      <w:pPr>
        <w:ind w:left="360"/>
        <w:jc w:val="both"/>
        <w:rPr>
          <w:rFonts w:ascii="Arial" w:hAnsi="Arial" w:cs="Arial"/>
        </w:rPr>
      </w:pPr>
    </w:p>
    <w:p w:rsidR="008661D2" w:rsidRPr="008661D2" w:rsidRDefault="008661D2" w:rsidP="008661D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Il Presidente</w:t>
      </w:r>
    </w:p>
    <w:p w:rsidR="00757851" w:rsidRDefault="00757851" w:rsidP="00757851">
      <w:pPr>
        <w:jc w:val="both"/>
        <w:rPr>
          <w:rFonts w:ascii="Arial" w:hAnsi="Arial" w:cs="Arial"/>
        </w:rPr>
      </w:pPr>
    </w:p>
    <w:p w:rsidR="009D1132" w:rsidRPr="009D1132" w:rsidRDefault="001B1A06" w:rsidP="009217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00BFF" w:rsidRPr="00937CAB" w:rsidRDefault="00D00BFF" w:rsidP="00937CAB">
      <w:pPr>
        <w:ind w:left="360"/>
        <w:jc w:val="both"/>
        <w:rPr>
          <w:rFonts w:ascii="Arial" w:hAnsi="Arial" w:cs="Arial"/>
        </w:rPr>
      </w:pPr>
    </w:p>
    <w:p w:rsidR="00937CAB" w:rsidRPr="00432970" w:rsidRDefault="00937CAB" w:rsidP="00937CAB">
      <w:pPr>
        <w:jc w:val="both"/>
        <w:rPr>
          <w:rFonts w:ascii="Arial" w:hAnsi="Arial" w:cs="Arial"/>
        </w:rPr>
      </w:pPr>
    </w:p>
    <w:sectPr w:rsidR="00937CAB" w:rsidRPr="00432970" w:rsidSect="00E96E3F">
      <w:headerReference w:type="default" r:id="rId7"/>
      <w:footerReference w:type="default" r:id="rId8"/>
      <w:pgSz w:w="11906" w:h="16838"/>
      <w:pgMar w:top="1417" w:right="1134" w:bottom="1134" w:left="113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674" w:rsidRDefault="00890674" w:rsidP="0091305D">
      <w:pPr>
        <w:spacing w:after="0" w:line="240" w:lineRule="auto"/>
      </w:pPr>
      <w:r>
        <w:separator/>
      </w:r>
    </w:p>
  </w:endnote>
  <w:endnote w:type="continuationSeparator" w:id="0">
    <w:p w:rsidR="00890674" w:rsidRDefault="00890674" w:rsidP="0091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123619"/>
      <w:docPartObj>
        <w:docPartGallery w:val="Page Numbers (Bottom of Page)"/>
        <w:docPartUnique/>
      </w:docPartObj>
    </w:sdtPr>
    <w:sdtContent>
      <w:p w:rsidR="00113AA4" w:rsidRDefault="00113AA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C40">
          <w:rPr>
            <w:noProof/>
          </w:rPr>
          <w:t>5</w:t>
        </w:r>
        <w:r>
          <w:fldChar w:fldCharType="end"/>
        </w:r>
      </w:p>
    </w:sdtContent>
  </w:sdt>
  <w:p w:rsidR="00113AA4" w:rsidRDefault="00113A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674" w:rsidRDefault="00890674" w:rsidP="0091305D">
      <w:pPr>
        <w:spacing w:after="0" w:line="240" w:lineRule="auto"/>
      </w:pPr>
      <w:r>
        <w:separator/>
      </w:r>
    </w:p>
  </w:footnote>
  <w:footnote w:type="continuationSeparator" w:id="0">
    <w:p w:rsidR="00890674" w:rsidRDefault="00890674" w:rsidP="00913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3AA4" w:rsidRPr="004B7466" w:rsidRDefault="00113AA4" w:rsidP="00814BC4">
    <w:pPr>
      <w:rPr>
        <w:sz w:val="4"/>
        <w:szCs w:val="4"/>
      </w:rPr>
    </w:pPr>
    <w:r w:rsidRPr="004B7466">
      <w:rPr>
        <w:noProof/>
        <w:sz w:val="4"/>
        <w:szCs w:val="4"/>
        <w:lang w:eastAsia="it-IT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-26670</wp:posOffset>
          </wp:positionH>
          <wp:positionV relativeFrom="paragraph">
            <wp:posOffset>-61595</wp:posOffset>
          </wp:positionV>
          <wp:extent cx="899160" cy="937260"/>
          <wp:effectExtent l="0" t="0" r="0" b="0"/>
          <wp:wrapTight wrapText="bothSides">
            <wp:wrapPolygon edited="0">
              <wp:start x="0" y="1756"/>
              <wp:lineTo x="0" y="21073"/>
              <wp:lineTo x="21051" y="21073"/>
              <wp:lineTo x="21051" y="1756"/>
              <wp:lineTo x="0" y="1756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4001" r="83066"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3AA4" w:rsidRPr="00BA72FB" w:rsidRDefault="00113AA4" w:rsidP="00BC7FDA">
    <w:pPr>
      <w:tabs>
        <w:tab w:val="left" w:pos="749"/>
      </w:tabs>
      <w:rPr>
        <w:sz w:val="10"/>
        <w:szCs w:val="10"/>
      </w:rPr>
    </w:pPr>
    <w:r>
      <w:rPr>
        <w:sz w:val="10"/>
        <w:szCs w:val="10"/>
      </w:rPr>
      <w:tab/>
    </w:r>
  </w:p>
  <w:p w:rsidR="00113AA4" w:rsidRPr="00342E9D" w:rsidRDefault="00113AA4" w:rsidP="00BC7FDA">
    <w:pPr>
      <w:rPr>
        <w:sz w:val="16"/>
        <w:szCs w:val="16"/>
      </w:rPr>
    </w:pPr>
  </w:p>
  <w:p w:rsidR="00113AA4" w:rsidRPr="00814BC4" w:rsidRDefault="00113AA4" w:rsidP="0091305D">
    <w:pPr>
      <w:jc w:val="right"/>
      <w:rPr>
        <w:sz w:val="14"/>
        <w:szCs w:val="14"/>
      </w:rPr>
    </w:pPr>
    <w:r>
      <w:rPr>
        <w:rFonts w:ascii="Arial" w:hAnsi="Arial" w:cs="Arial"/>
        <w:b/>
        <w:i/>
        <w:sz w:val="14"/>
        <w:szCs w:val="14"/>
      </w:rPr>
      <w:t>Preventivo</w:t>
    </w:r>
    <w:r w:rsidRPr="00814BC4">
      <w:rPr>
        <w:rFonts w:ascii="Arial" w:hAnsi="Arial" w:cs="Arial"/>
        <w:b/>
        <w:i/>
        <w:sz w:val="14"/>
        <w:szCs w:val="14"/>
      </w:rPr>
      <w:t xml:space="preserve"> esercizio finanziario 202</w:t>
    </w:r>
    <w:r>
      <w:rPr>
        <w:rFonts w:ascii="Arial" w:hAnsi="Arial" w:cs="Arial"/>
        <w:b/>
        <w:i/>
        <w:sz w:val="14"/>
        <w:szCs w:val="14"/>
      </w:rPr>
      <w:t>4</w:t>
    </w:r>
  </w:p>
  <w:p w:rsidR="00113AA4" w:rsidRDefault="00113A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C0192"/>
    <w:multiLevelType w:val="hybridMultilevel"/>
    <w:tmpl w:val="CA4A0AF0"/>
    <w:lvl w:ilvl="0" w:tplc="D7927F2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38137104"/>
    <w:multiLevelType w:val="hybridMultilevel"/>
    <w:tmpl w:val="6F348E22"/>
    <w:lvl w:ilvl="0" w:tplc="0410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C76463D"/>
    <w:multiLevelType w:val="hybridMultilevel"/>
    <w:tmpl w:val="26A26ED0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9114F2"/>
    <w:multiLevelType w:val="hybridMultilevel"/>
    <w:tmpl w:val="7F7EA44A"/>
    <w:lvl w:ilvl="0" w:tplc="D7F8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671D9"/>
    <w:multiLevelType w:val="hybridMultilevel"/>
    <w:tmpl w:val="6824C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37498">
    <w:abstractNumId w:val="3"/>
  </w:num>
  <w:num w:numId="2" w16cid:durableId="928777823">
    <w:abstractNumId w:val="4"/>
  </w:num>
  <w:num w:numId="3" w16cid:durableId="1112214355">
    <w:abstractNumId w:val="1"/>
  </w:num>
  <w:num w:numId="4" w16cid:durableId="1620991362">
    <w:abstractNumId w:val="0"/>
  </w:num>
  <w:num w:numId="5" w16cid:durableId="922641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79"/>
    <w:rsid w:val="00006F94"/>
    <w:rsid w:val="000D1051"/>
    <w:rsid w:val="000F6662"/>
    <w:rsid w:val="00113AA4"/>
    <w:rsid w:val="0014087F"/>
    <w:rsid w:val="00170370"/>
    <w:rsid w:val="00184099"/>
    <w:rsid w:val="001B1A06"/>
    <w:rsid w:val="001D7935"/>
    <w:rsid w:val="00292301"/>
    <w:rsid w:val="00294EF0"/>
    <w:rsid w:val="002D6044"/>
    <w:rsid w:val="00342990"/>
    <w:rsid w:val="00371DDC"/>
    <w:rsid w:val="00396E2B"/>
    <w:rsid w:val="004136D6"/>
    <w:rsid w:val="00432970"/>
    <w:rsid w:val="00493493"/>
    <w:rsid w:val="004D2F6D"/>
    <w:rsid w:val="00556C54"/>
    <w:rsid w:val="00574F5B"/>
    <w:rsid w:val="00591D40"/>
    <w:rsid w:val="00592527"/>
    <w:rsid w:val="005977E7"/>
    <w:rsid w:val="005B007E"/>
    <w:rsid w:val="005E6917"/>
    <w:rsid w:val="0061655C"/>
    <w:rsid w:val="00625EA2"/>
    <w:rsid w:val="00684DF1"/>
    <w:rsid w:val="006F3F44"/>
    <w:rsid w:val="006F747D"/>
    <w:rsid w:val="007317F7"/>
    <w:rsid w:val="007549DE"/>
    <w:rsid w:val="00757851"/>
    <w:rsid w:val="00757F4B"/>
    <w:rsid w:val="007638D5"/>
    <w:rsid w:val="00781C40"/>
    <w:rsid w:val="007F7FFB"/>
    <w:rsid w:val="00814BC4"/>
    <w:rsid w:val="008548D8"/>
    <w:rsid w:val="00861A79"/>
    <w:rsid w:val="008661D2"/>
    <w:rsid w:val="0088722D"/>
    <w:rsid w:val="00890674"/>
    <w:rsid w:val="00897609"/>
    <w:rsid w:val="008E21DD"/>
    <w:rsid w:val="0090245B"/>
    <w:rsid w:val="0091305D"/>
    <w:rsid w:val="0092171B"/>
    <w:rsid w:val="00937CAB"/>
    <w:rsid w:val="00967650"/>
    <w:rsid w:val="009C6975"/>
    <w:rsid w:val="009C7233"/>
    <w:rsid w:val="009D1132"/>
    <w:rsid w:val="009D6F35"/>
    <w:rsid w:val="009D7D0A"/>
    <w:rsid w:val="00A44898"/>
    <w:rsid w:val="00A45B40"/>
    <w:rsid w:val="00AB361F"/>
    <w:rsid w:val="00AC1D79"/>
    <w:rsid w:val="00AC557B"/>
    <w:rsid w:val="00AF204A"/>
    <w:rsid w:val="00B04157"/>
    <w:rsid w:val="00B329F2"/>
    <w:rsid w:val="00B35BC4"/>
    <w:rsid w:val="00B420BF"/>
    <w:rsid w:val="00B63275"/>
    <w:rsid w:val="00B72557"/>
    <w:rsid w:val="00B76631"/>
    <w:rsid w:val="00B90375"/>
    <w:rsid w:val="00B910B1"/>
    <w:rsid w:val="00BA781A"/>
    <w:rsid w:val="00BC7FDA"/>
    <w:rsid w:val="00C257AB"/>
    <w:rsid w:val="00C51705"/>
    <w:rsid w:val="00C755E0"/>
    <w:rsid w:val="00C7681C"/>
    <w:rsid w:val="00C955A5"/>
    <w:rsid w:val="00CA6BA6"/>
    <w:rsid w:val="00D00BFF"/>
    <w:rsid w:val="00D12A0B"/>
    <w:rsid w:val="00D936B9"/>
    <w:rsid w:val="00DD0D6E"/>
    <w:rsid w:val="00DE715F"/>
    <w:rsid w:val="00E96E3F"/>
    <w:rsid w:val="00EF2B87"/>
    <w:rsid w:val="00F1161D"/>
    <w:rsid w:val="00F73B94"/>
    <w:rsid w:val="00F81C1E"/>
    <w:rsid w:val="00F851E3"/>
    <w:rsid w:val="00FA4194"/>
    <w:rsid w:val="00FC493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9135E5-4AFA-452C-A6DD-82557821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7F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3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305D"/>
  </w:style>
  <w:style w:type="paragraph" w:styleId="Pidipagina">
    <w:name w:val="footer"/>
    <w:basedOn w:val="Normale"/>
    <w:link w:val="PidipaginaCarattere"/>
    <w:uiPriority w:val="99"/>
    <w:unhideWhenUsed/>
    <w:rsid w:val="00913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user</cp:lastModifiedBy>
  <cp:revision>2</cp:revision>
  <cp:lastPrinted>2024-02-16T18:00:00Z</cp:lastPrinted>
  <dcterms:created xsi:type="dcterms:W3CDTF">2025-06-25T08:00:00Z</dcterms:created>
  <dcterms:modified xsi:type="dcterms:W3CDTF">2025-06-25T08:00:00Z</dcterms:modified>
</cp:coreProperties>
</file>