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275" w:rsidRDefault="00B63275" w:rsidP="00B63275">
      <w:pPr>
        <w:jc w:val="both"/>
        <w:rPr>
          <w:rFonts w:ascii="Arial" w:hAnsi="Arial" w:cs="Arial"/>
        </w:rPr>
      </w:pPr>
    </w:p>
    <w:tbl>
      <w:tblPr>
        <w:tblW w:w="98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8"/>
        <w:gridCol w:w="7736"/>
        <w:gridCol w:w="1156"/>
      </w:tblGrid>
      <w:tr w:rsidR="00362212" w:rsidRPr="00362212" w:rsidTr="00362212">
        <w:trPr>
          <w:trHeight w:val="300"/>
        </w:trPr>
        <w:tc>
          <w:tcPr>
            <w:tcW w:w="9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it-IT"/>
              </w:rPr>
            </w:pPr>
            <w:r w:rsidRPr="0036221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it-IT"/>
              </w:rPr>
              <w:t>* RENDICONTO FINANZIARIO CONSUNTIVO 2024 *</w:t>
            </w:r>
          </w:p>
        </w:tc>
      </w:tr>
      <w:tr w:rsidR="00362212" w:rsidRPr="00362212" w:rsidTr="00362212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62212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7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36221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* ENTRATE*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2212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362212" w:rsidRPr="00362212" w:rsidTr="00362212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62212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7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2212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2212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362212" w:rsidRPr="00362212" w:rsidTr="00362212">
        <w:trPr>
          <w:trHeight w:val="255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3622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Capitolo</w:t>
            </w:r>
          </w:p>
        </w:tc>
        <w:tc>
          <w:tcPr>
            <w:tcW w:w="7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2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3622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Euro</w:t>
            </w:r>
          </w:p>
        </w:tc>
      </w:tr>
      <w:tr w:rsidR="00362212" w:rsidRPr="00362212" w:rsidTr="00362212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2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2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Avanzo di gestione esercizio finanziario precedente (banca)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2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414.907,26</w:t>
            </w:r>
          </w:p>
        </w:tc>
      </w:tr>
      <w:tr w:rsidR="00362212" w:rsidRPr="00362212" w:rsidTr="00362212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2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2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Avanzo di gestione esercizio finanziario precedente (cassa)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2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28,67</w:t>
            </w:r>
          </w:p>
        </w:tc>
      </w:tr>
      <w:tr w:rsidR="00362212" w:rsidRPr="00362212" w:rsidTr="00362212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3622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3622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Totale avanzo anno precedente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3622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414.935,93</w:t>
            </w:r>
          </w:p>
        </w:tc>
      </w:tr>
      <w:tr w:rsidR="00362212" w:rsidRPr="00362212" w:rsidTr="00362212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2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2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2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362212" w:rsidRPr="00362212" w:rsidTr="00362212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2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3622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Titolo I - Entrate correnti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2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362212" w:rsidRPr="00362212" w:rsidTr="00362212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2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3622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Cat</w:t>
            </w:r>
            <w:proofErr w:type="spellEnd"/>
            <w:r w:rsidRPr="003622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. I - Entrate Contributive a carico degli iscritti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2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362212" w:rsidRPr="00362212" w:rsidTr="00362212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2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060</w:t>
            </w:r>
          </w:p>
        </w:tc>
        <w:tc>
          <w:tcPr>
            <w:tcW w:w="7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2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Tassa Collegiale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2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174.509,66</w:t>
            </w:r>
          </w:p>
        </w:tc>
      </w:tr>
      <w:tr w:rsidR="00362212" w:rsidRPr="00362212" w:rsidTr="00362212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2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3622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Cat</w:t>
            </w:r>
            <w:proofErr w:type="spellEnd"/>
            <w:r w:rsidRPr="003622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 xml:space="preserve">. III - Quote di </w:t>
            </w:r>
            <w:proofErr w:type="spellStart"/>
            <w:r w:rsidRPr="003622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partecipaz.degli</w:t>
            </w:r>
            <w:proofErr w:type="spellEnd"/>
            <w:r w:rsidRPr="003622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 xml:space="preserve"> iscritti all'onere di particolari gestioni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2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362212" w:rsidRPr="00362212" w:rsidTr="00362212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2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10</w:t>
            </w:r>
          </w:p>
        </w:tc>
        <w:tc>
          <w:tcPr>
            <w:tcW w:w="7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2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Entrate diverse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2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362212" w:rsidRPr="00362212" w:rsidTr="00362212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2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3622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Cat</w:t>
            </w:r>
            <w:proofErr w:type="spellEnd"/>
            <w:r w:rsidRPr="003622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. IX - Redditi e proventi patrimoniali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2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362212" w:rsidRPr="00362212" w:rsidTr="00362212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it-IT"/>
              </w:rPr>
            </w:pPr>
            <w:r w:rsidRPr="00362212">
              <w:rPr>
                <w:rFonts w:ascii="Arial" w:eastAsia="Times New Roman" w:hAnsi="Arial" w:cs="Arial"/>
                <w:color w:val="FF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2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Interessi attivi su depositi e conti correnti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2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362212" w:rsidRPr="00362212" w:rsidTr="00362212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2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3622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Cat</w:t>
            </w:r>
            <w:proofErr w:type="spellEnd"/>
            <w:r w:rsidRPr="003622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. X - Poste correttive e compensative di uscite correnti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2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362212" w:rsidRPr="00362212" w:rsidTr="00362212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2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2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2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362212" w:rsidRPr="00362212" w:rsidTr="00362212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2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3622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Cat</w:t>
            </w:r>
            <w:proofErr w:type="spellEnd"/>
            <w:r w:rsidRPr="003622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. XI - Entrate non classificabili in altre voci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2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362212" w:rsidRPr="00362212" w:rsidTr="00362212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2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080</w:t>
            </w:r>
          </w:p>
        </w:tc>
        <w:tc>
          <w:tcPr>
            <w:tcW w:w="7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2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Oblazioni Archivio Notarile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2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1.970,50</w:t>
            </w:r>
          </w:p>
        </w:tc>
      </w:tr>
      <w:tr w:rsidR="00362212" w:rsidRPr="00362212" w:rsidTr="00362212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2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071</w:t>
            </w:r>
          </w:p>
        </w:tc>
        <w:tc>
          <w:tcPr>
            <w:tcW w:w="7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2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Recupero spese legali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2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23.151,51</w:t>
            </w:r>
          </w:p>
        </w:tc>
      </w:tr>
      <w:tr w:rsidR="00362212" w:rsidRPr="00362212" w:rsidTr="00362212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3622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3622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Totale Titolo I - Entrate correnti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3622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199.631,67</w:t>
            </w:r>
          </w:p>
        </w:tc>
      </w:tr>
      <w:tr w:rsidR="00362212" w:rsidRPr="00362212" w:rsidTr="00362212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2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3622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Titolo II- Entrate in Conto Capitale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2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362212" w:rsidRPr="00362212" w:rsidTr="00362212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2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2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2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362212" w:rsidRPr="00362212" w:rsidTr="00362212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2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3622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Totale Titolo II- Entrate in Conto Capitale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2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0,00</w:t>
            </w:r>
          </w:p>
        </w:tc>
      </w:tr>
      <w:tr w:rsidR="00362212" w:rsidRPr="00362212" w:rsidTr="00362212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2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3622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Titolo III- Partite di giro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2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362212" w:rsidRPr="00362212" w:rsidTr="00362212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2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3622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Cat</w:t>
            </w:r>
            <w:proofErr w:type="spellEnd"/>
            <w:r w:rsidRPr="003622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. I - Entrate aventi natura di partite di giro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2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362212" w:rsidRPr="00362212" w:rsidTr="00362212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2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2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Ritenute fiscali dipendenti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2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12.811,20</w:t>
            </w:r>
          </w:p>
        </w:tc>
      </w:tr>
      <w:tr w:rsidR="00362212" w:rsidRPr="00362212" w:rsidTr="00362212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2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2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Ritenute fiscali autonomi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2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1.426,47</w:t>
            </w:r>
          </w:p>
        </w:tc>
      </w:tr>
      <w:tr w:rsidR="00362212" w:rsidRPr="00362212" w:rsidTr="00362212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2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2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Ritenute previdenziali e assistenziali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2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362212" w:rsidRPr="00362212" w:rsidTr="00362212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2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2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2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362212" w:rsidRPr="00362212" w:rsidTr="00362212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3622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3622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Totale Titolo III- Partite di giro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3622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14.237,67</w:t>
            </w:r>
          </w:p>
        </w:tc>
      </w:tr>
      <w:tr w:rsidR="00362212" w:rsidRPr="00362212" w:rsidTr="00362212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3622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3622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Totale Entrate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3622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213.869,34</w:t>
            </w:r>
          </w:p>
        </w:tc>
      </w:tr>
      <w:tr w:rsidR="00362212" w:rsidRPr="00362212" w:rsidTr="00362212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3622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3622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Totale generale (Entrate + avanzo di gestione iniziale)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3622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628.805,27</w:t>
            </w:r>
          </w:p>
        </w:tc>
      </w:tr>
      <w:tr w:rsidR="00362212" w:rsidRPr="00362212" w:rsidTr="00362212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2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3622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2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362212" w:rsidRPr="00362212" w:rsidTr="00362212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2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36221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* USCITE*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2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362212" w:rsidRPr="00362212" w:rsidTr="00362212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2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3622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2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362212" w:rsidRPr="00362212" w:rsidTr="00362212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2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3622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Titolo I - Uscite correnti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2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362212" w:rsidRPr="00362212" w:rsidTr="00362212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2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3622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Cat</w:t>
            </w:r>
            <w:proofErr w:type="spellEnd"/>
            <w:r w:rsidRPr="003622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. I - Uscite per gli organi dell'Ente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2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362212" w:rsidRPr="00362212" w:rsidTr="00362212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2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3622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2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362212" w:rsidRPr="00362212" w:rsidTr="00362212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2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3622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Cat</w:t>
            </w:r>
            <w:proofErr w:type="spellEnd"/>
            <w:r w:rsidRPr="003622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. II - Oneri per il personale dipendente e collaborazioni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2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362212" w:rsidRPr="00362212" w:rsidTr="00362212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2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040</w:t>
            </w:r>
          </w:p>
        </w:tc>
        <w:tc>
          <w:tcPr>
            <w:tcW w:w="7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2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Spese per il personale dipendente: </w:t>
            </w:r>
            <w:proofErr w:type="spellStart"/>
            <w:r w:rsidRPr="00362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retribuz.e</w:t>
            </w:r>
            <w:proofErr w:type="spellEnd"/>
            <w:r w:rsidRPr="00362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 oneri sociali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2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60.170,96</w:t>
            </w:r>
          </w:p>
        </w:tc>
      </w:tr>
      <w:tr w:rsidR="00362212" w:rsidRPr="00362212" w:rsidTr="00362212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2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042</w:t>
            </w:r>
          </w:p>
        </w:tc>
        <w:tc>
          <w:tcPr>
            <w:tcW w:w="7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2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Spese per il personale dipendente: fondi per straordinari e buoni pasto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2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4.023,10</w:t>
            </w:r>
          </w:p>
        </w:tc>
      </w:tr>
      <w:tr w:rsidR="00362212" w:rsidRPr="00362212" w:rsidTr="00362212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2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lastRenderedPageBreak/>
              <w:t>041</w:t>
            </w:r>
          </w:p>
        </w:tc>
        <w:tc>
          <w:tcPr>
            <w:tcW w:w="7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2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Spese per il personale in somministrazione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2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20.530,39</w:t>
            </w:r>
          </w:p>
        </w:tc>
      </w:tr>
      <w:tr w:rsidR="00362212" w:rsidRPr="00362212" w:rsidTr="00362212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2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2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Erogazioni di T.F.R.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2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362212" w:rsidRPr="00362212" w:rsidTr="00362212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2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2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Compensi a collaboratori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2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362212" w:rsidRPr="00362212" w:rsidTr="00362212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2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2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Rimborsi spese di trasferta a dipendenti (trasporti, viaggi etc.)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2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362212" w:rsidRPr="00362212" w:rsidTr="00362212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2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2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Rimborsi spese di trasferta a collaboratori (trasporti, viaggi etc.)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2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362212" w:rsidRPr="00362212" w:rsidTr="00362212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2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3622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Cat</w:t>
            </w:r>
            <w:proofErr w:type="spellEnd"/>
            <w:r w:rsidRPr="003622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. III - Uscite per l'acquisto di beni di consumo e servizi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2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362212" w:rsidRPr="00362212" w:rsidTr="00362212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2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2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Acquisti di libri, quotidiani e pubblicazioni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2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362212" w:rsidRPr="00362212" w:rsidTr="00362212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2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290</w:t>
            </w:r>
          </w:p>
        </w:tc>
        <w:tc>
          <w:tcPr>
            <w:tcW w:w="7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2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Materiali di consumo, spese di cancelleria e varie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2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645,68</w:t>
            </w:r>
          </w:p>
        </w:tc>
      </w:tr>
      <w:tr w:rsidR="00362212" w:rsidRPr="00362212" w:rsidTr="00362212">
        <w:trPr>
          <w:trHeight w:val="975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2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100-270-275-550</w:t>
            </w:r>
          </w:p>
        </w:tc>
        <w:tc>
          <w:tcPr>
            <w:tcW w:w="7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2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Prestazioni professionali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2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23.417,50</w:t>
            </w:r>
          </w:p>
        </w:tc>
      </w:tr>
      <w:tr w:rsidR="00362212" w:rsidRPr="00362212" w:rsidTr="00362212">
        <w:trPr>
          <w:trHeight w:val="1215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2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120-140-300-400-430</w:t>
            </w:r>
          </w:p>
        </w:tc>
        <w:tc>
          <w:tcPr>
            <w:tcW w:w="7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2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Spese telefoniche, energia elettrica, </w:t>
            </w:r>
            <w:proofErr w:type="spellStart"/>
            <w:r w:rsidRPr="00362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collegam.telematici</w:t>
            </w:r>
            <w:proofErr w:type="spellEnd"/>
            <w:r w:rsidRPr="00362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, spese postali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2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3.218,82</w:t>
            </w:r>
          </w:p>
        </w:tc>
      </w:tr>
      <w:tr w:rsidR="00362212" w:rsidRPr="00362212" w:rsidTr="00362212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2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560</w:t>
            </w:r>
          </w:p>
        </w:tc>
        <w:tc>
          <w:tcPr>
            <w:tcW w:w="7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2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Premi di assicurazione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2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1.100,00</w:t>
            </w:r>
          </w:p>
        </w:tc>
      </w:tr>
      <w:tr w:rsidR="00362212" w:rsidRPr="00362212" w:rsidTr="00362212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2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2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Spese di viaggio e trasferte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2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362212" w:rsidRPr="00362212" w:rsidTr="00362212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2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460</w:t>
            </w:r>
          </w:p>
        </w:tc>
        <w:tc>
          <w:tcPr>
            <w:tcW w:w="7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2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Spese di rappresentanza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2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2.474,89</w:t>
            </w:r>
          </w:p>
        </w:tc>
      </w:tr>
      <w:tr w:rsidR="00362212" w:rsidRPr="00362212" w:rsidTr="00362212">
        <w:trPr>
          <w:trHeight w:val="735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2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030-072-130</w:t>
            </w:r>
          </w:p>
        </w:tc>
        <w:tc>
          <w:tcPr>
            <w:tcW w:w="7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2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Spese di affitto, oneri condominiali, pulizia e varie immobili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2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13.981,81</w:t>
            </w:r>
          </w:p>
        </w:tc>
      </w:tr>
      <w:tr w:rsidR="00362212" w:rsidRPr="00362212" w:rsidTr="00362212">
        <w:trPr>
          <w:trHeight w:val="1215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2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320 (parte)-380-470-471</w:t>
            </w:r>
          </w:p>
        </w:tc>
        <w:tc>
          <w:tcPr>
            <w:tcW w:w="7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2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Spese di manutenzione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2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2.545,81</w:t>
            </w:r>
          </w:p>
        </w:tc>
      </w:tr>
      <w:tr w:rsidR="00362212" w:rsidRPr="00362212" w:rsidTr="00362212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2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500</w:t>
            </w:r>
          </w:p>
        </w:tc>
        <w:tc>
          <w:tcPr>
            <w:tcW w:w="7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2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Spese varie non diversamente classificabili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2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3,10</w:t>
            </w:r>
          </w:p>
        </w:tc>
      </w:tr>
      <w:tr w:rsidR="00362212" w:rsidRPr="00362212" w:rsidTr="00362212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2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2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2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362212" w:rsidRPr="00362212" w:rsidTr="00362212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2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3622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Cat</w:t>
            </w:r>
            <w:proofErr w:type="spellEnd"/>
            <w:r w:rsidRPr="003622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. IV - Uscite per contributi e prestazioni istituzionali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2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362212" w:rsidRPr="00362212" w:rsidTr="00362212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2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530</w:t>
            </w:r>
          </w:p>
        </w:tc>
        <w:tc>
          <w:tcPr>
            <w:tcW w:w="7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2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Contributo COREDI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2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32.243,10</w:t>
            </w:r>
          </w:p>
        </w:tc>
      </w:tr>
      <w:tr w:rsidR="00362212" w:rsidRPr="00362212" w:rsidTr="00362212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2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2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2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362212" w:rsidRPr="00362212" w:rsidTr="00362212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2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3622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Cat</w:t>
            </w:r>
            <w:proofErr w:type="spellEnd"/>
            <w:r w:rsidRPr="003622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. V - Uscite per servizi vari agli iscritti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2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362212" w:rsidRPr="00362212" w:rsidTr="00362212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2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2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2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362212" w:rsidRPr="00362212" w:rsidTr="00362212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2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3622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Cat</w:t>
            </w:r>
            <w:proofErr w:type="spellEnd"/>
            <w:r w:rsidRPr="003622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. VI - Oneri finanziari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2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362212" w:rsidRPr="00362212" w:rsidTr="00362212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2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330</w:t>
            </w:r>
          </w:p>
        </w:tc>
        <w:tc>
          <w:tcPr>
            <w:tcW w:w="7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2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Spese e commissioni di c/c e postali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2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577,43</w:t>
            </w:r>
          </w:p>
        </w:tc>
      </w:tr>
      <w:tr w:rsidR="00362212" w:rsidRPr="00362212" w:rsidTr="00362212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2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2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Interessi passivi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2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362212" w:rsidRPr="00362212" w:rsidTr="00362212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2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2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2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362212" w:rsidRPr="00362212" w:rsidTr="00362212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2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3622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Cat</w:t>
            </w:r>
            <w:proofErr w:type="spellEnd"/>
            <w:r w:rsidRPr="003622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. VII - Oneri tributari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2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362212" w:rsidRPr="00362212" w:rsidTr="00362212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2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580</w:t>
            </w:r>
          </w:p>
        </w:tc>
        <w:tc>
          <w:tcPr>
            <w:tcW w:w="7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2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IRAP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2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5.821,18</w:t>
            </w:r>
          </w:p>
        </w:tc>
      </w:tr>
      <w:tr w:rsidR="00362212" w:rsidRPr="00362212" w:rsidTr="00362212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2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2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IVA split </w:t>
            </w:r>
            <w:proofErr w:type="spellStart"/>
            <w:r w:rsidRPr="00362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payment</w:t>
            </w:r>
            <w:proofErr w:type="spellEnd"/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2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7.732,93</w:t>
            </w:r>
          </w:p>
        </w:tc>
      </w:tr>
      <w:tr w:rsidR="00362212" w:rsidRPr="00362212" w:rsidTr="00362212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2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280</w:t>
            </w:r>
          </w:p>
        </w:tc>
        <w:tc>
          <w:tcPr>
            <w:tcW w:w="7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2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Imposte comunali, di bollo e varie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2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1.177,80</w:t>
            </w:r>
          </w:p>
        </w:tc>
      </w:tr>
      <w:tr w:rsidR="00362212" w:rsidRPr="00362212" w:rsidTr="00362212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2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2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2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362212" w:rsidRPr="00362212" w:rsidTr="00362212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2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3622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Cat</w:t>
            </w:r>
            <w:proofErr w:type="spellEnd"/>
            <w:r w:rsidRPr="003622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 xml:space="preserve">. VIII - Uscite per attività di formazione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2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362212" w:rsidRPr="00362212" w:rsidTr="00362212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2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450</w:t>
            </w:r>
          </w:p>
        </w:tc>
        <w:tc>
          <w:tcPr>
            <w:tcW w:w="7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2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Spese varie per organizzazione di congressi/convegni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2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18.672,94</w:t>
            </w:r>
          </w:p>
        </w:tc>
      </w:tr>
      <w:tr w:rsidR="00362212" w:rsidRPr="00362212" w:rsidTr="00362212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2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2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2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362212" w:rsidRPr="00362212" w:rsidTr="00362212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2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lastRenderedPageBreak/>
              <w:t> </w:t>
            </w:r>
          </w:p>
        </w:tc>
        <w:tc>
          <w:tcPr>
            <w:tcW w:w="7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3622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Cat</w:t>
            </w:r>
            <w:proofErr w:type="spellEnd"/>
            <w:r w:rsidRPr="003622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. VIII - Uscite per spese non classificabili in altre voci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2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362212" w:rsidRPr="00362212" w:rsidTr="00362212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2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100-580-</w:t>
            </w:r>
          </w:p>
        </w:tc>
        <w:tc>
          <w:tcPr>
            <w:tcW w:w="7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2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Multe e sanzioni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2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362212" w:rsidRPr="00362212" w:rsidTr="00362212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2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2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2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362212" w:rsidRPr="00362212" w:rsidTr="00362212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3622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3622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Totale Titolo I - Uscite correnti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3622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198.337,44</w:t>
            </w:r>
          </w:p>
        </w:tc>
      </w:tr>
      <w:tr w:rsidR="00362212" w:rsidRPr="00362212" w:rsidTr="00362212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2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2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2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362212" w:rsidRPr="00362212" w:rsidTr="00362212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2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3622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Titolo II - Uscite per spese in conto capitale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2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362212" w:rsidRPr="00362212" w:rsidTr="00362212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2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3622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Cat</w:t>
            </w:r>
            <w:proofErr w:type="spellEnd"/>
            <w:r w:rsidRPr="003622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. I - Uscite per acquisti di Immobilizzazioni tecniche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2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362212" w:rsidRPr="00362212" w:rsidTr="00362212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2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2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Acquisti di Immobilizzazioni immateriali: software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2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362212" w:rsidRPr="00362212" w:rsidTr="00362212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2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2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Acquisti di Immobilizzazioni materiali: mobili e arredi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2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362212" w:rsidRPr="00362212" w:rsidTr="00362212">
        <w:trPr>
          <w:trHeight w:val="495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2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320 (parte)</w:t>
            </w:r>
          </w:p>
        </w:tc>
        <w:tc>
          <w:tcPr>
            <w:tcW w:w="7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2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Acquisti di Immobilizzazioni materiali: macchine da </w:t>
            </w:r>
            <w:proofErr w:type="spellStart"/>
            <w:r w:rsidRPr="00362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uff.elettroniche</w:t>
            </w:r>
            <w:proofErr w:type="spellEnd"/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2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1.140,00</w:t>
            </w:r>
          </w:p>
        </w:tc>
      </w:tr>
      <w:tr w:rsidR="00362212" w:rsidRPr="00362212" w:rsidTr="00362212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2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2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Acquisti di Immobilizzazioni materiali: attrezzature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2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362212" w:rsidRPr="00362212" w:rsidTr="00362212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2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2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Acquisti di Immobilizzazioni materiali: altri beni strumentali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2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362212" w:rsidRPr="00362212" w:rsidTr="00362212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2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2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2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362212" w:rsidRPr="00362212" w:rsidTr="00362212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3622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3622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Totale Titolo II - Uscite per spese in conto capitale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3622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1.140,00</w:t>
            </w:r>
          </w:p>
        </w:tc>
      </w:tr>
      <w:tr w:rsidR="00362212" w:rsidRPr="00362212" w:rsidTr="00362212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2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2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2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362212" w:rsidRPr="00362212" w:rsidTr="00362212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2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3622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Titolo III - Partite di giro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2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362212" w:rsidRPr="00362212" w:rsidTr="00362212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2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3622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Cat</w:t>
            </w:r>
            <w:proofErr w:type="spellEnd"/>
            <w:r w:rsidRPr="003622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. I - Uscite aventi natura di partite di giro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2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362212" w:rsidRPr="00362212" w:rsidTr="00362212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2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2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Ritenute fiscali dipendenti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2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12.811,20</w:t>
            </w:r>
          </w:p>
        </w:tc>
      </w:tr>
      <w:tr w:rsidR="00362212" w:rsidRPr="00362212" w:rsidTr="00362212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2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2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Ritenute fiscali autonomi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2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1.426,47</w:t>
            </w:r>
          </w:p>
        </w:tc>
      </w:tr>
      <w:tr w:rsidR="00362212" w:rsidRPr="00362212" w:rsidTr="00362212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2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2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Ritenute previdenziali e assistenziali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2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362212" w:rsidRPr="00362212" w:rsidTr="00362212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2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2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2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362212" w:rsidRPr="00362212" w:rsidTr="00362212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it-IT"/>
              </w:rPr>
            </w:pPr>
            <w:r w:rsidRPr="00362212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3622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TotaleTitolo</w:t>
            </w:r>
            <w:proofErr w:type="spellEnd"/>
            <w:r w:rsidRPr="003622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 xml:space="preserve"> III - Partite di giro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it-IT"/>
              </w:rPr>
            </w:pPr>
            <w:r w:rsidRPr="00362212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it-IT"/>
              </w:rPr>
              <w:t>14.237,67</w:t>
            </w:r>
          </w:p>
        </w:tc>
      </w:tr>
      <w:tr w:rsidR="00362212" w:rsidRPr="00362212" w:rsidTr="00362212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it-IT"/>
              </w:rPr>
            </w:pPr>
            <w:r w:rsidRPr="00362212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3622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Totale Uscite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it-IT"/>
              </w:rPr>
            </w:pPr>
            <w:r w:rsidRPr="00362212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it-IT"/>
              </w:rPr>
              <w:t>213.715,11</w:t>
            </w:r>
          </w:p>
        </w:tc>
      </w:tr>
      <w:tr w:rsidR="00362212" w:rsidRPr="00362212" w:rsidTr="00362212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2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2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Avanzo di gestione esercizio finanziario corrente (banca)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2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415.050,98</w:t>
            </w:r>
          </w:p>
        </w:tc>
      </w:tr>
      <w:tr w:rsidR="00362212" w:rsidRPr="00362212" w:rsidTr="00362212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2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2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Avanzo di gestione esercizio finanziario corrente (cassa)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2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39,18</w:t>
            </w:r>
          </w:p>
        </w:tc>
      </w:tr>
      <w:tr w:rsidR="00362212" w:rsidRPr="00362212" w:rsidTr="00362212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3622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3622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Totale avanzo esercizio finanziario corrente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3622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415.090,16</w:t>
            </w:r>
          </w:p>
        </w:tc>
      </w:tr>
      <w:tr w:rsidR="00362212" w:rsidRPr="00362212" w:rsidTr="00362212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3622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3622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Totale generale (Uscite + avanzo di gestione finale)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2" w:rsidRPr="00362212" w:rsidRDefault="00362212" w:rsidP="003622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3622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628.805,27</w:t>
            </w:r>
          </w:p>
        </w:tc>
      </w:tr>
    </w:tbl>
    <w:p w:rsidR="00396E2B" w:rsidRDefault="00396E2B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98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3"/>
        <w:gridCol w:w="3192"/>
        <w:gridCol w:w="1141"/>
        <w:gridCol w:w="352"/>
        <w:gridCol w:w="3834"/>
        <w:gridCol w:w="196"/>
        <w:gridCol w:w="1141"/>
      </w:tblGrid>
      <w:tr w:rsidR="00D819CE" w:rsidRPr="00D819CE" w:rsidTr="00D819CE">
        <w:trPr>
          <w:trHeight w:val="300"/>
        </w:trPr>
        <w:tc>
          <w:tcPr>
            <w:tcW w:w="98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9CE" w:rsidRPr="00D819CE" w:rsidRDefault="00D819CE" w:rsidP="00D819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 w:rsidRPr="00D819CE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lastRenderedPageBreak/>
              <w:t>STATO PATRIMONIALE AL 31.12.2024</w:t>
            </w:r>
          </w:p>
        </w:tc>
      </w:tr>
      <w:tr w:rsidR="00D819CE" w:rsidRPr="00D819CE" w:rsidTr="00D819CE">
        <w:trPr>
          <w:trHeight w:val="255"/>
        </w:trPr>
        <w:tc>
          <w:tcPr>
            <w:tcW w:w="3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19CE" w:rsidRPr="00D819CE" w:rsidRDefault="00D819CE" w:rsidP="00D819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D819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ATTIVO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19CE" w:rsidRPr="00D819CE" w:rsidRDefault="00D819CE" w:rsidP="00D819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D819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Importi</w:t>
            </w:r>
          </w:p>
        </w:tc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19CE" w:rsidRPr="00D819CE" w:rsidRDefault="00D819CE" w:rsidP="00D819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D819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PASSIVO</w:t>
            </w:r>
          </w:p>
        </w:tc>
        <w:tc>
          <w:tcPr>
            <w:tcW w:w="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19CE" w:rsidRPr="00D819CE" w:rsidRDefault="00D819CE" w:rsidP="00D819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D819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9CE" w:rsidRPr="00D819CE" w:rsidRDefault="00D819CE" w:rsidP="00D819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D819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Importi</w:t>
            </w:r>
          </w:p>
        </w:tc>
      </w:tr>
      <w:tr w:rsidR="00D819CE" w:rsidRPr="00D819CE" w:rsidTr="00D819CE">
        <w:trPr>
          <w:trHeight w:val="300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9CE" w:rsidRPr="00D819CE" w:rsidRDefault="00D819CE" w:rsidP="00D819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D819CE">
              <w:rPr>
                <w:rFonts w:ascii="Arial" w:eastAsia="Times New Roman" w:hAnsi="Arial" w:cs="Arial"/>
                <w:color w:val="000000"/>
                <w:lang w:eastAsia="it-IT"/>
              </w:rPr>
              <w:t>B)</w:t>
            </w: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9CE" w:rsidRPr="00D819CE" w:rsidRDefault="00D819CE" w:rsidP="00D819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8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IMMOBILIZZAZIONI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9CE" w:rsidRPr="00D819CE" w:rsidRDefault="00D819CE" w:rsidP="00D819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8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9CE" w:rsidRPr="00D819CE" w:rsidRDefault="00D819CE" w:rsidP="00D819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8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A)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9CE" w:rsidRPr="00D819CE" w:rsidRDefault="00D819CE" w:rsidP="00D819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8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PATRIMONIO NETTO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9CE" w:rsidRPr="00D819CE" w:rsidRDefault="00D819CE" w:rsidP="00D819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9CE" w:rsidRPr="00D819CE" w:rsidRDefault="00D819CE" w:rsidP="00D81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D819CE" w:rsidRPr="00D819CE" w:rsidTr="00D819CE">
        <w:trPr>
          <w:trHeight w:val="300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9CE" w:rsidRPr="00D819CE" w:rsidRDefault="00D819CE" w:rsidP="00D81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9CE" w:rsidRPr="00D819CE" w:rsidRDefault="00D819CE" w:rsidP="00D819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8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I. Immobilizzazioni immateriali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9CE" w:rsidRPr="00D819CE" w:rsidRDefault="00D819CE" w:rsidP="00D819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8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9CE" w:rsidRPr="00D819CE" w:rsidRDefault="00D819CE" w:rsidP="00D819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8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I. 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9CE" w:rsidRPr="00D819CE" w:rsidRDefault="00D819CE" w:rsidP="00D819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8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Fondo di Dotazione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9CE" w:rsidRPr="00D819CE" w:rsidRDefault="00D819CE" w:rsidP="00D819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19CE" w:rsidRPr="00D819CE" w:rsidRDefault="00D819CE" w:rsidP="00D819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8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D819CE" w:rsidRPr="00D819CE" w:rsidTr="00D819CE">
        <w:trPr>
          <w:trHeight w:val="300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9CE" w:rsidRPr="00D819CE" w:rsidRDefault="00D819CE" w:rsidP="00D819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9CE" w:rsidRPr="00D819CE" w:rsidRDefault="00D819CE" w:rsidP="00D819C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D819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it-IT"/>
              </w:rPr>
              <w:t>importo lordo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9CE" w:rsidRPr="00D819CE" w:rsidRDefault="00D819CE" w:rsidP="00D819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8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9CE" w:rsidRPr="00D819CE" w:rsidRDefault="00D819CE" w:rsidP="00D819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8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II. 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9CE" w:rsidRPr="00D819CE" w:rsidRDefault="00D819CE" w:rsidP="00D819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8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Avanzi patrimoniali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9CE" w:rsidRPr="00D819CE" w:rsidRDefault="00D819CE" w:rsidP="00D819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19CE" w:rsidRPr="00D819CE" w:rsidRDefault="00D819CE" w:rsidP="00D819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8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378.679,10</w:t>
            </w:r>
          </w:p>
        </w:tc>
      </w:tr>
      <w:tr w:rsidR="00D819CE" w:rsidRPr="00D819CE" w:rsidTr="00D819CE">
        <w:trPr>
          <w:trHeight w:val="315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9CE" w:rsidRPr="00D819CE" w:rsidRDefault="00D819CE" w:rsidP="00D819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9CE" w:rsidRPr="00D819CE" w:rsidRDefault="00D819CE" w:rsidP="00D819C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D819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it-IT"/>
              </w:rPr>
              <w:t>fondi di ammortamento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9CE" w:rsidRPr="00D819CE" w:rsidRDefault="00D819CE" w:rsidP="00D819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8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9CE" w:rsidRPr="00D819CE" w:rsidRDefault="00D819CE" w:rsidP="00D819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9CE" w:rsidRPr="00D819CE" w:rsidRDefault="00D819CE" w:rsidP="00D819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D819C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Totale Patrimonio Netto (A)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9CE" w:rsidRPr="00D819CE" w:rsidRDefault="00D819CE" w:rsidP="00D819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19CE" w:rsidRPr="00D819CE" w:rsidRDefault="00D819CE" w:rsidP="00D819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D819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378.679,10</w:t>
            </w:r>
          </w:p>
        </w:tc>
      </w:tr>
      <w:tr w:rsidR="00D819CE" w:rsidRPr="00D819CE" w:rsidTr="00D819CE">
        <w:trPr>
          <w:trHeight w:val="330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9CE" w:rsidRPr="00D819CE" w:rsidRDefault="00D819CE" w:rsidP="00D819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9CE" w:rsidRPr="00D819CE" w:rsidRDefault="00D819CE" w:rsidP="00D819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8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importo netto</w:t>
            </w:r>
          </w:p>
        </w:tc>
        <w:tc>
          <w:tcPr>
            <w:tcW w:w="11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9CE" w:rsidRPr="00D819CE" w:rsidRDefault="00D819CE" w:rsidP="00D819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8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0,00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9CE" w:rsidRPr="00D819CE" w:rsidRDefault="00D819CE" w:rsidP="00D819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9CE" w:rsidRPr="00D819CE" w:rsidRDefault="00D819CE" w:rsidP="00D81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9CE" w:rsidRPr="00D819CE" w:rsidRDefault="00D819CE" w:rsidP="00D81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9CE" w:rsidRPr="00D819CE" w:rsidRDefault="00D819CE" w:rsidP="00D81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D819CE" w:rsidRPr="00D819CE" w:rsidTr="00D819CE">
        <w:trPr>
          <w:trHeight w:val="315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9CE" w:rsidRPr="00D819CE" w:rsidRDefault="00D819CE" w:rsidP="00D81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9CE" w:rsidRPr="00D819CE" w:rsidRDefault="00D819CE" w:rsidP="00D81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9CE" w:rsidRPr="00D819CE" w:rsidRDefault="00D819CE" w:rsidP="00D819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8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9CE" w:rsidRPr="00D819CE" w:rsidRDefault="00D819CE" w:rsidP="00D819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8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B)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9CE" w:rsidRPr="00D819CE" w:rsidRDefault="00D819CE" w:rsidP="00D819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8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FONDI PER RISCHI ED ONERI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9CE" w:rsidRPr="00D819CE" w:rsidRDefault="00D819CE" w:rsidP="00D819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9CE" w:rsidRPr="00D819CE" w:rsidRDefault="00D819CE" w:rsidP="00D81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D819CE" w:rsidRPr="00D819CE" w:rsidTr="00D819CE">
        <w:trPr>
          <w:trHeight w:val="300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9CE" w:rsidRPr="00D819CE" w:rsidRDefault="00D819CE" w:rsidP="00D81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9CE" w:rsidRPr="00D819CE" w:rsidRDefault="00D819CE" w:rsidP="00D819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8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II. Immobilizzazioni materiali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9CE" w:rsidRPr="00D819CE" w:rsidRDefault="00D819CE" w:rsidP="00D819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8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9CE" w:rsidRPr="00D819CE" w:rsidRDefault="00D819CE" w:rsidP="00D819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9CE" w:rsidRPr="00D819CE" w:rsidRDefault="00D819CE" w:rsidP="00D81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9CE" w:rsidRPr="00D819CE" w:rsidRDefault="00D819CE" w:rsidP="00D81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19CE" w:rsidRPr="00D819CE" w:rsidRDefault="00D819CE" w:rsidP="00D819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8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D819CE" w:rsidRPr="00D819CE" w:rsidTr="00D819CE">
        <w:trPr>
          <w:trHeight w:val="315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9CE" w:rsidRPr="00D819CE" w:rsidRDefault="00D819CE" w:rsidP="00D819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9CE" w:rsidRPr="00D819CE" w:rsidRDefault="00D819CE" w:rsidP="00D819C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D819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it-IT"/>
              </w:rPr>
              <w:t>importo lordo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9CE" w:rsidRPr="00D819CE" w:rsidRDefault="00D819CE" w:rsidP="00D819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8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12.011,66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9CE" w:rsidRPr="00D819CE" w:rsidRDefault="00D819CE" w:rsidP="00D819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9CE" w:rsidRPr="00D819CE" w:rsidRDefault="00D819CE" w:rsidP="00D819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D819C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Totale Fondi per rischi ed oneri (B)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9CE" w:rsidRPr="00D819CE" w:rsidRDefault="00D819CE" w:rsidP="00D819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19CE" w:rsidRPr="00D819CE" w:rsidRDefault="00D819CE" w:rsidP="00D819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D819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0,00</w:t>
            </w:r>
          </w:p>
        </w:tc>
      </w:tr>
      <w:tr w:rsidR="00D819CE" w:rsidRPr="00D819CE" w:rsidTr="00D819CE">
        <w:trPr>
          <w:trHeight w:val="315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9CE" w:rsidRPr="00D819CE" w:rsidRDefault="00D819CE" w:rsidP="00D819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9CE" w:rsidRPr="00D819CE" w:rsidRDefault="00D819CE" w:rsidP="00D819C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D819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it-IT"/>
              </w:rPr>
              <w:t>fondi di ammortamento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9CE" w:rsidRPr="00D819CE" w:rsidRDefault="00D819CE" w:rsidP="00D819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8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-4.342,40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9CE" w:rsidRPr="00D819CE" w:rsidRDefault="00D819CE" w:rsidP="00D819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9CE" w:rsidRPr="00D819CE" w:rsidRDefault="00D819CE" w:rsidP="00D81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9CE" w:rsidRPr="00D819CE" w:rsidRDefault="00D819CE" w:rsidP="00D81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9CE" w:rsidRPr="00D819CE" w:rsidRDefault="00D819CE" w:rsidP="00D81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D819CE" w:rsidRPr="00D819CE" w:rsidTr="00D819CE">
        <w:trPr>
          <w:trHeight w:val="315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9CE" w:rsidRPr="00D819CE" w:rsidRDefault="00D819CE" w:rsidP="00D81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9CE" w:rsidRPr="00D819CE" w:rsidRDefault="00D819CE" w:rsidP="00D819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8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importo netto</w:t>
            </w:r>
          </w:p>
        </w:tc>
        <w:tc>
          <w:tcPr>
            <w:tcW w:w="11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9CE" w:rsidRPr="00D819CE" w:rsidRDefault="00D819CE" w:rsidP="00D819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8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7.669,26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9CE" w:rsidRPr="00D819CE" w:rsidRDefault="00D819CE" w:rsidP="00D819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8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C)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9CE" w:rsidRPr="00D819CE" w:rsidRDefault="00D819CE" w:rsidP="00D819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8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TRATTAMENTO DI FINE RAPPORTO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9CE" w:rsidRPr="00D819CE" w:rsidRDefault="00D819CE" w:rsidP="00D819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9CE" w:rsidRPr="00D819CE" w:rsidRDefault="00D819CE" w:rsidP="00D81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D819CE" w:rsidRPr="00D819CE" w:rsidTr="00D819CE">
        <w:trPr>
          <w:trHeight w:val="315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9CE" w:rsidRPr="00D819CE" w:rsidRDefault="00D819CE" w:rsidP="00D81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9CE" w:rsidRPr="00D819CE" w:rsidRDefault="00D819CE" w:rsidP="00D81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9CE" w:rsidRPr="00D819CE" w:rsidRDefault="00D819CE" w:rsidP="00D819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8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9CE" w:rsidRPr="00D819CE" w:rsidRDefault="00D819CE" w:rsidP="00D819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9CE" w:rsidRPr="00D819CE" w:rsidRDefault="00D819CE" w:rsidP="00D819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8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Fondo T.F.R.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9CE" w:rsidRPr="00D819CE" w:rsidRDefault="00D819CE" w:rsidP="00D819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19CE" w:rsidRPr="00D819CE" w:rsidRDefault="00D819CE" w:rsidP="00D819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8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35.453,09</w:t>
            </w:r>
          </w:p>
        </w:tc>
      </w:tr>
      <w:tr w:rsidR="00D819CE" w:rsidRPr="00D819CE" w:rsidTr="00D819CE">
        <w:trPr>
          <w:trHeight w:val="315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9CE" w:rsidRPr="00D819CE" w:rsidRDefault="00D819CE" w:rsidP="00D819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9CE" w:rsidRPr="00D819CE" w:rsidRDefault="00D819CE" w:rsidP="00D819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8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II. Immobilizzazioni finanziarie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9CE" w:rsidRPr="00D819CE" w:rsidRDefault="00D819CE" w:rsidP="00D819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8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9CE" w:rsidRPr="00D819CE" w:rsidRDefault="00D819CE" w:rsidP="00D819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9CE" w:rsidRPr="00D819CE" w:rsidRDefault="00D819CE" w:rsidP="00D819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D819C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Totale Fondo T.F.R.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9CE" w:rsidRPr="00D819CE" w:rsidRDefault="00D819CE" w:rsidP="00D819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19CE" w:rsidRPr="00D819CE" w:rsidRDefault="00D819CE" w:rsidP="00D819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D819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35.453,09</w:t>
            </w:r>
          </w:p>
        </w:tc>
      </w:tr>
      <w:tr w:rsidR="00D819CE" w:rsidRPr="00D819CE" w:rsidTr="00D819CE">
        <w:trPr>
          <w:trHeight w:val="315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9CE" w:rsidRPr="00D819CE" w:rsidRDefault="00D819CE" w:rsidP="00D819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9CE" w:rsidRPr="00D819CE" w:rsidRDefault="00D819CE" w:rsidP="00D819C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D819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it-IT"/>
              </w:rPr>
              <w:t>importo lordo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9CE" w:rsidRPr="00D819CE" w:rsidRDefault="00D819CE" w:rsidP="00D819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8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9CE" w:rsidRPr="00D819CE" w:rsidRDefault="00D819CE" w:rsidP="00D819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9CE" w:rsidRPr="00D819CE" w:rsidRDefault="00D819CE" w:rsidP="00D81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9CE" w:rsidRPr="00D819CE" w:rsidRDefault="00D819CE" w:rsidP="00D81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9CE" w:rsidRPr="00D819CE" w:rsidRDefault="00D819CE" w:rsidP="00D81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D819CE" w:rsidRPr="00D819CE" w:rsidTr="00D819CE">
        <w:trPr>
          <w:trHeight w:val="300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9CE" w:rsidRPr="00D819CE" w:rsidRDefault="00D819CE" w:rsidP="00D81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9CE" w:rsidRPr="00D819CE" w:rsidRDefault="00D819CE" w:rsidP="00D819C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D819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it-IT"/>
              </w:rPr>
              <w:t>fondi di ammortamento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9CE" w:rsidRPr="00D819CE" w:rsidRDefault="00D819CE" w:rsidP="00D819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8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9CE" w:rsidRPr="00D819CE" w:rsidRDefault="00D819CE" w:rsidP="00D819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8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D)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9CE" w:rsidRPr="00D819CE" w:rsidRDefault="00D819CE" w:rsidP="00D819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8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DEBITI E RESIDUI PASSIVI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9CE" w:rsidRPr="00D819CE" w:rsidRDefault="00D819CE" w:rsidP="00D819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9CE" w:rsidRPr="00D819CE" w:rsidRDefault="00D819CE" w:rsidP="00D81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D819CE" w:rsidRPr="00D819CE" w:rsidTr="00D819CE">
        <w:trPr>
          <w:trHeight w:val="315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9CE" w:rsidRPr="00D819CE" w:rsidRDefault="00D819CE" w:rsidP="00D81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9CE" w:rsidRPr="00D819CE" w:rsidRDefault="00D819CE" w:rsidP="00D819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8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importo netto</w:t>
            </w:r>
          </w:p>
        </w:tc>
        <w:tc>
          <w:tcPr>
            <w:tcW w:w="11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9CE" w:rsidRPr="00D819CE" w:rsidRDefault="00D819CE" w:rsidP="00D819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8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0,00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9CE" w:rsidRPr="00D819CE" w:rsidRDefault="00D819CE" w:rsidP="00D819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9CE" w:rsidRPr="00D819CE" w:rsidRDefault="00D819CE" w:rsidP="00D819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8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Debiti bancari e finanziari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9CE" w:rsidRPr="00D819CE" w:rsidRDefault="00D819CE" w:rsidP="00D819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19CE" w:rsidRPr="00D819CE" w:rsidRDefault="00D819CE" w:rsidP="00D819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8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D819CE" w:rsidRPr="00D819CE" w:rsidTr="00D819CE">
        <w:trPr>
          <w:trHeight w:val="315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9CE" w:rsidRPr="00D819CE" w:rsidRDefault="00D819CE" w:rsidP="00D819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9CE" w:rsidRPr="00D819CE" w:rsidRDefault="00D819CE" w:rsidP="00D81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9CE" w:rsidRPr="00D819CE" w:rsidRDefault="00D819CE" w:rsidP="00D819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8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9CE" w:rsidRPr="00D819CE" w:rsidRDefault="00D819CE" w:rsidP="00D819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9CE" w:rsidRPr="00D819CE" w:rsidRDefault="00D819CE" w:rsidP="00D819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8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Residui passivi: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9CE" w:rsidRPr="00D819CE" w:rsidRDefault="00D819CE" w:rsidP="00D819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9CE" w:rsidRPr="00D819CE" w:rsidRDefault="00D819CE" w:rsidP="00D81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D819CE" w:rsidRPr="00D819CE" w:rsidTr="00D819CE">
        <w:trPr>
          <w:trHeight w:val="315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9CE" w:rsidRPr="00D819CE" w:rsidRDefault="00D819CE" w:rsidP="00D81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9CE" w:rsidRPr="00D819CE" w:rsidRDefault="00D819CE" w:rsidP="00D819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D819C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Totale Immobilizzazioni (B)</w:t>
            </w:r>
          </w:p>
        </w:tc>
        <w:tc>
          <w:tcPr>
            <w:tcW w:w="11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9CE" w:rsidRPr="00D819CE" w:rsidRDefault="00D819CE" w:rsidP="00D819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D819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7.669,26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9CE" w:rsidRPr="00D819CE" w:rsidRDefault="00D819CE" w:rsidP="00D819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9CE" w:rsidRPr="00D819CE" w:rsidRDefault="00D819CE" w:rsidP="00D819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8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- Debiti v/fornitori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9CE" w:rsidRPr="00D819CE" w:rsidRDefault="00D819CE" w:rsidP="00D819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9CE" w:rsidRPr="00D819CE" w:rsidRDefault="00D819CE" w:rsidP="00D819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8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1.943,70</w:t>
            </w:r>
          </w:p>
        </w:tc>
      </w:tr>
      <w:tr w:rsidR="00D819CE" w:rsidRPr="00D819CE" w:rsidTr="00D819CE">
        <w:trPr>
          <w:trHeight w:val="315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9CE" w:rsidRPr="00D819CE" w:rsidRDefault="00D819CE" w:rsidP="00D819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9CE" w:rsidRPr="00D819CE" w:rsidRDefault="00D819CE" w:rsidP="00D81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9CE" w:rsidRPr="00D819CE" w:rsidRDefault="00D819CE" w:rsidP="00D819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8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9CE" w:rsidRPr="00D819CE" w:rsidRDefault="00D819CE" w:rsidP="00D819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9CE" w:rsidRPr="00D819CE" w:rsidRDefault="00D819CE" w:rsidP="00D819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8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- Debiti tributari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9CE" w:rsidRPr="00D819CE" w:rsidRDefault="00D819CE" w:rsidP="00D819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9CE" w:rsidRPr="00D819CE" w:rsidRDefault="00D819CE" w:rsidP="00D819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8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4.605,53</w:t>
            </w:r>
          </w:p>
        </w:tc>
      </w:tr>
      <w:tr w:rsidR="00D819CE" w:rsidRPr="00D819CE" w:rsidTr="00D819CE">
        <w:trPr>
          <w:trHeight w:val="300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9CE" w:rsidRPr="00D819CE" w:rsidRDefault="00D819CE" w:rsidP="00D819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D819CE">
              <w:rPr>
                <w:rFonts w:ascii="Arial" w:eastAsia="Times New Roman" w:hAnsi="Arial" w:cs="Arial"/>
                <w:color w:val="000000"/>
                <w:lang w:eastAsia="it-IT"/>
              </w:rPr>
              <w:t xml:space="preserve">C) </w:t>
            </w: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9CE" w:rsidRPr="00D819CE" w:rsidRDefault="00D819CE" w:rsidP="00D819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8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ATTIVO CIRCOLANTE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9CE" w:rsidRPr="00D819CE" w:rsidRDefault="00D819CE" w:rsidP="00D819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8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9CE" w:rsidRPr="00D819CE" w:rsidRDefault="00D819CE" w:rsidP="00D819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9CE" w:rsidRPr="00D819CE" w:rsidRDefault="00D819CE" w:rsidP="00D819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8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- Debiti v/Istituti Previdenziali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9CE" w:rsidRPr="00D819CE" w:rsidRDefault="00D819CE" w:rsidP="00D819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9CE" w:rsidRPr="00D819CE" w:rsidRDefault="00D819CE" w:rsidP="00D819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8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2.078,00</w:t>
            </w:r>
          </w:p>
        </w:tc>
      </w:tr>
      <w:tr w:rsidR="00D819CE" w:rsidRPr="00D819CE" w:rsidTr="00D819CE">
        <w:trPr>
          <w:trHeight w:val="300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9CE" w:rsidRPr="00D819CE" w:rsidRDefault="00D819CE" w:rsidP="00D819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9CE" w:rsidRPr="00D819CE" w:rsidRDefault="00D819CE" w:rsidP="00D819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8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II Crediti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9CE" w:rsidRPr="00D819CE" w:rsidRDefault="00D819CE" w:rsidP="00D819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8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9CE" w:rsidRPr="00D819CE" w:rsidRDefault="00D819CE" w:rsidP="00D819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9CE" w:rsidRPr="00D819CE" w:rsidRDefault="00D819CE" w:rsidP="00D819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8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- 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9CE" w:rsidRPr="00D819CE" w:rsidRDefault="00D819CE" w:rsidP="00D819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9CE" w:rsidRPr="00D819CE" w:rsidRDefault="00D819CE" w:rsidP="00D81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D819CE" w:rsidRPr="00D819CE" w:rsidTr="00D819CE">
        <w:trPr>
          <w:trHeight w:val="300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9CE" w:rsidRPr="00D819CE" w:rsidRDefault="00D819CE" w:rsidP="00D81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9CE" w:rsidRPr="00D819CE" w:rsidRDefault="00D819CE" w:rsidP="00D819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8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III </w:t>
            </w:r>
            <w:proofErr w:type="spellStart"/>
            <w:r w:rsidRPr="00D8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Att.finanziarie</w:t>
            </w:r>
            <w:proofErr w:type="spellEnd"/>
            <w:r w:rsidRPr="00D8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non </w:t>
            </w:r>
            <w:proofErr w:type="spellStart"/>
            <w:r w:rsidRPr="00D8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immobilizz</w:t>
            </w:r>
            <w:proofErr w:type="spellEnd"/>
            <w:r w:rsidRPr="00D8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9CE" w:rsidRPr="00D819CE" w:rsidRDefault="00D819CE" w:rsidP="00D819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8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9CE" w:rsidRPr="00D819CE" w:rsidRDefault="00D819CE" w:rsidP="00D819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9CE" w:rsidRPr="00D819CE" w:rsidRDefault="00D819CE" w:rsidP="00D81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9CE" w:rsidRPr="00D819CE" w:rsidRDefault="00D819CE" w:rsidP="00D81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9CE" w:rsidRPr="00D819CE" w:rsidRDefault="00D819CE" w:rsidP="00D81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D819CE" w:rsidRPr="00D819CE" w:rsidTr="00D819CE">
        <w:trPr>
          <w:trHeight w:val="300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9CE" w:rsidRPr="00D819CE" w:rsidRDefault="00D819CE" w:rsidP="00D81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9CE" w:rsidRPr="00D819CE" w:rsidRDefault="00D819CE" w:rsidP="00D819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8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IV Disponibilità liquide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9CE" w:rsidRPr="00D819CE" w:rsidRDefault="00D819CE" w:rsidP="00D819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8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415.090,16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9CE" w:rsidRPr="00D819CE" w:rsidRDefault="00D819CE" w:rsidP="00D819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9CE" w:rsidRPr="00D819CE" w:rsidRDefault="00D819CE" w:rsidP="00D81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9CE" w:rsidRPr="00D819CE" w:rsidRDefault="00D819CE" w:rsidP="00D81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9CE" w:rsidRPr="00D819CE" w:rsidRDefault="00D819CE" w:rsidP="00D81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D819CE" w:rsidRPr="00D819CE" w:rsidTr="00D819CE">
        <w:trPr>
          <w:trHeight w:val="315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9CE" w:rsidRPr="00D819CE" w:rsidRDefault="00D819CE" w:rsidP="00D81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9CE" w:rsidRPr="00D819CE" w:rsidRDefault="00D819CE" w:rsidP="00D819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D819C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Totale attivo circolante (c)</w:t>
            </w:r>
          </w:p>
        </w:tc>
        <w:tc>
          <w:tcPr>
            <w:tcW w:w="11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9CE" w:rsidRPr="00D819CE" w:rsidRDefault="00D819CE" w:rsidP="00D819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D819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415.090,16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9CE" w:rsidRPr="00D819CE" w:rsidRDefault="00D819CE" w:rsidP="00D819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9CE" w:rsidRPr="00D819CE" w:rsidRDefault="00D819CE" w:rsidP="00D819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D819C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Totale Debiti e Residui Passivi (D)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9CE" w:rsidRPr="00D819CE" w:rsidRDefault="00D819CE" w:rsidP="00D819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19CE" w:rsidRPr="00D819CE" w:rsidRDefault="00D819CE" w:rsidP="00D819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D819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8.627,23</w:t>
            </w:r>
          </w:p>
        </w:tc>
      </w:tr>
      <w:tr w:rsidR="00D819CE" w:rsidRPr="00D819CE" w:rsidTr="00D819CE">
        <w:trPr>
          <w:trHeight w:val="315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9CE" w:rsidRPr="00D819CE" w:rsidRDefault="00D819CE" w:rsidP="00D819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9CE" w:rsidRPr="00D819CE" w:rsidRDefault="00D819CE" w:rsidP="00D81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9CE" w:rsidRPr="00D819CE" w:rsidRDefault="00D819CE" w:rsidP="00D819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8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9CE" w:rsidRPr="00D819CE" w:rsidRDefault="00D819CE" w:rsidP="00D819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9CE" w:rsidRPr="00D819CE" w:rsidRDefault="00D819CE" w:rsidP="00D81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9CE" w:rsidRPr="00D819CE" w:rsidRDefault="00D819CE" w:rsidP="00D81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9CE" w:rsidRPr="00D819CE" w:rsidRDefault="00D819CE" w:rsidP="00D81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D819CE" w:rsidRPr="00D819CE" w:rsidTr="00D819CE">
        <w:trPr>
          <w:trHeight w:val="315"/>
        </w:trPr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19CE" w:rsidRPr="00D819CE" w:rsidRDefault="00D819CE" w:rsidP="00D819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 w:rsidRPr="00D819CE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31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19CE" w:rsidRPr="00D819CE" w:rsidRDefault="00D819CE" w:rsidP="00D819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D819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TOTALE ATTIVO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9CE" w:rsidRPr="00D819CE" w:rsidRDefault="00D819CE" w:rsidP="00D819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D819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422.759,42</w:t>
            </w:r>
          </w:p>
        </w:tc>
        <w:tc>
          <w:tcPr>
            <w:tcW w:w="40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19CE" w:rsidRPr="00D819CE" w:rsidRDefault="00D819CE" w:rsidP="00D819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D819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TOTALE PASSIVO E NETTO</w:t>
            </w:r>
          </w:p>
        </w:tc>
        <w:tc>
          <w:tcPr>
            <w:tcW w:w="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19CE" w:rsidRPr="00D819CE" w:rsidRDefault="00D819CE" w:rsidP="00D819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D819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9CE" w:rsidRPr="00D819CE" w:rsidRDefault="00D819CE" w:rsidP="00D819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D819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422.759,42</w:t>
            </w:r>
          </w:p>
        </w:tc>
      </w:tr>
    </w:tbl>
    <w:p w:rsidR="00B63275" w:rsidRPr="00B63275" w:rsidRDefault="00B63275" w:rsidP="00B63275">
      <w:pPr>
        <w:jc w:val="both"/>
        <w:rPr>
          <w:rFonts w:ascii="Arial" w:hAnsi="Arial" w:cs="Arial"/>
        </w:rPr>
      </w:pPr>
    </w:p>
    <w:p w:rsidR="006F747D" w:rsidRDefault="006F747D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br w:type="page"/>
      </w:r>
    </w:p>
    <w:p w:rsidR="00AB361F" w:rsidRPr="00556C54" w:rsidRDefault="007F7FFB" w:rsidP="00556C54">
      <w:pPr>
        <w:jc w:val="center"/>
        <w:rPr>
          <w:rFonts w:ascii="Arial" w:hAnsi="Arial" w:cs="Arial"/>
          <w:b/>
          <w:i/>
        </w:rPr>
      </w:pPr>
      <w:r w:rsidRPr="00556C54">
        <w:rPr>
          <w:rFonts w:ascii="Arial" w:hAnsi="Arial" w:cs="Arial"/>
          <w:b/>
          <w:i/>
        </w:rPr>
        <w:lastRenderedPageBreak/>
        <w:t xml:space="preserve">Relazione al consuntivo </w:t>
      </w:r>
      <w:r w:rsidR="002D6044">
        <w:rPr>
          <w:rFonts w:ascii="Arial" w:hAnsi="Arial" w:cs="Arial"/>
          <w:b/>
          <w:i/>
        </w:rPr>
        <w:t xml:space="preserve">dell’esercizio finanziario </w:t>
      </w:r>
      <w:r w:rsidRPr="00556C54">
        <w:rPr>
          <w:rFonts w:ascii="Arial" w:hAnsi="Arial" w:cs="Arial"/>
          <w:b/>
          <w:i/>
        </w:rPr>
        <w:t>al 31.12.202</w:t>
      </w:r>
      <w:r w:rsidR="00444748">
        <w:rPr>
          <w:rFonts w:ascii="Arial" w:hAnsi="Arial" w:cs="Arial"/>
          <w:b/>
          <w:i/>
        </w:rPr>
        <w:t>4</w:t>
      </w:r>
    </w:p>
    <w:p w:rsidR="007F7FFB" w:rsidRDefault="007F7FFB" w:rsidP="00DD0D6E">
      <w:pPr>
        <w:jc w:val="both"/>
        <w:rPr>
          <w:rFonts w:ascii="Arial" w:hAnsi="Arial" w:cs="Arial"/>
        </w:rPr>
      </w:pPr>
    </w:p>
    <w:p w:rsidR="00937CAB" w:rsidRPr="00937CAB" w:rsidRDefault="00937CAB" w:rsidP="00937CAB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b/>
        </w:rPr>
      </w:pPr>
      <w:r w:rsidRPr="00937CAB">
        <w:rPr>
          <w:rFonts w:ascii="Arial" w:hAnsi="Arial" w:cs="Arial"/>
          <w:b/>
        </w:rPr>
        <w:t>Introduzione</w:t>
      </w:r>
    </w:p>
    <w:p w:rsidR="007F7FFB" w:rsidRDefault="006F747D" w:rsidP="00DD0D6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Per la redazione del</w:t>
      </w:r>
      <w:r w:rsidR="00937CAB">
        <w:rPr>
          <w:rFonts w:ascii="Arial" w:hAnsi="Arial" w:cs="Arial"/>
        </w:rPr>
        <w:t xml:space="preserve"> </w:t>
      </w:r>
      <w:r w:rsidR="007F7FFB">
        <w:rPr>
          <w:rFonts w:ascii="Arial" w:hAnsi="Arial" w:cs="Arial"/>
        </w:rPr>
        <w:t xml:space="preserve">consuntivo </w:t>
      </w:r>
      <w:r>
        <w:rPr>
          <w:rFonts w:ascii="Arial" w:hAnsi="Arial" w:cs="Arial"/>
        </w:rPr>
        <w:t>si è fatto ricorso a</w:t>
      </w:r>
      <w:r w:rsidR="007F7FFB">
        <w:rPr>
          <w:rFonts w:ascii="Arial" w:hAnsi="Arial" w:cs="Arial"/>
        </w:rPr>
        <w:t xml:space="preserve"> modelli contabili analoghi a quelli </w:t>
      </w:r>
      <w:r w:rsidR="007638D5">
        <w:rPr>
          <w:rFonts w:ascii="Arial" w:hAnsi="Arial" w:cs="Arial"/>
        </w:rPr>
        <w:t xml:space="preserve">che la normativa di settore ha previsto per </w:t>
      </w:r>
      <w:r w:rsidR="007F7FFB">
        <w:rPr>
          <w:rFonts w:ascii="Arial" w:hAnsi="Arial" w:cs="Arial"/>
        </w:rPr>
        <w:t>gli Enti Pubblici Istituzionali, con le opportune semplificazioni suggerite dalla natura giuridica del Consiglio</w:t>
      </w:r>
      <w:r w:rsidR="00DD0D6E">
        <w:rPr>
          <w:rFonts w:ascii="Arial" w:hAnsi="Arial" w:cs="Arial"/>
        </w:rPr>
        <w:t xml:space="preserve"> Notarile che, si ricorda, è un Ente Pubblico non economico </w:t>
      </w:r>
      <w:r w:rsidR="00A45B40">
        <w:rPr>
          <w:rFonts w:ascii="Arial" w:hAnsi="Arial" w:cs="Arial"/>
        </w:rPr>
        <w:t>finanziariamente autonomo</w:t>
      </w:r>
      <w:r w:rsidR="007638D5">
        <w:rPr>
          <w:rFonts w:ascii="Arial" w:hAnsi="Arial" w:cs="Arial"/>
        </w:rPr>
        <w:t>,</w:t>
      </w:r>
      <w:r w:rsidR="001D7935">
        <w:rPr>
          <w:rFonts w:ascii="Arial" w:hAnsi="Arial" w:cs="Arial"/>
        </w:rPr>
        <w:t xml:space="preserve"> per il quale </w:t>
      </w:r>
      <w:r w:rsidR="00967650">
        <w:rPr>
          <w:rFonts w:ascii="Arial" w:hAnsi="Arial" w:cs="Arial"/>
        </w:rPr>
        <w:t>sono applicabili</w:t>
      </w:r>
      <w:r w:rsidR="001D7935">
        <w:rPr>
          <w:rFonts w:ascii="Arial" w:hAnsi="Arial" w:cs="Arial"/>
        </w:rPr>
        <w:t xml:space="preserve"> le semplificazioni introdotte, da ultimo, dal D.L. 75/2023.</w:t>
      </w:r>
    </w:p>
    <w:p w:rsidR="007F7FFB" w:rsidRDefault="007F7FFB" w:rsidP="00DD0D6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Si è pertanto deciso, anche in continuità con quanto fatto negli esercizi </w:t>
      </w:r>
      <w:r w:rsidR="007638D5">
        <w:rPr>
          <w:rFonts w:ascii="Arial" w:hAnsi="Arial" w:cs="Arial"/>
        </w:rPr>
        <w:t xml:space="preserve">finanziari </w:t>
      </w:r>
      <w:r>
        <w:rPr>
          <w:rFonts w:ascii="Arial" w:hAnsi="Arial" w:cs="Arial"/>
        </w:rPr>
        <w:t>precedenti, di predisporre due documenti distinti:</w:t>
      </w:r>
    </w:p>
    <w:p w:rsidR="007F7FFB" w:rsidRDefault="007F7FFB" w:rsidP="00DD0D6E">
      <w:pPr>
        <w:pStyle w:val="Paragrafoelenco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Il “Rendiconto Finanziario Consuntivo”, che rappresenta la d</w:t>
      </w:r>
      <w:r w:rsidR="00967650">
        <w:rPr>
          <w:rFonts w:ascii="Arial" w:hAnsi="Arial" w:cs="Arial"/>
        </w:rPr>
        <w:t>eterminazione a consuntivo delle</w:t>
      </w:r>
      <w:r>
        <w:rPr>
          <w:rFonts w:ascii="Arial" w:hAnsi="Arial" w:cs="Arial"/>
        </w:rPr>
        <w:t xml:space="preserve"> entrate e delle uscite finanziarie</w:t>
      </w:r>
      <w:r w:rsidR="00BA781A">
        <w:rPr>
          <w:rFonts w:ascii="Arial" w:hAnsi="Arial" w:cs="Arial"/>
        </w:rPr>
        <w:t xml:space="preserve"> in ragione della data di </w:t>
      </w:r>
      <w:r w:rsidR="001D7935">
        <w:rPr>
          <w:rFonts w:ascii="Arial" w:hAnsi="Arial" w:cs="Arial"/>
        </w:rPr>
        <w:t>“accertamento” delle operazioni, che in via prudenziale si identifica con l’effettivo accredito delle entrate e l’effettivo addebito delle uscite;</w:t>
      </w:r>
    </w:p>
    <w:p w:rsidR="001D7935" w:rsidRDefault="00D00BFF" w:rsidP="00DD0D6E">
      <w:pPr>
        <w:pStyle w:val="Paragrafoelenco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Lo</w:t>
      </w:r>
      <w:r w:rsidR="001D7935">
        <w:rPr>
          <w:rFonts w:ascii="Arial" w:hAnsi="Arial" w:cs="Arial"/>
        </w:rPr>
        <w:t xml:space="preserve"> “</w:t>
      </w:r>
      <w:r>
        <w:rPr>
          <w:rFonts w:ascii="Arial" w:hAnsi="Arial" w:cs="Arial"/>
        </w:rPr>
        <w:t>Stato</w:t>
      </w:r>
      <w:r w:rsidR="001D7935">
        <w:rPr>
          <w:rFonts w:ascii="Arial" w:hAnsi="Arial" w:cs="Arial"/>
        </w:rPr>
        <w:t xml:space="preserve"> Patrimoniale”, che </w:t>
      </w:r>
      <w:r w:rsidR="00432970">
        <w:rPr>
          <w:rFonts w:ascii="Arial" w:hAnsi="Arial" w:cs="Arial"/>
        </w:rPr>
        <w:t>integra le informazioni desumibili dalla contabilità finanziaria fornendo la rappresentazione quantitativa e qualitativa</w:t>
      </w:r>
      <w:r w:rsidR="00967650">
        <w:rPr>
          <w:rFonts w:ascii="Arial" w:hAnsi="Arial" w:cs="Arial"/>
        </w:rPr>
        <w:t>, alla data di riferimento del documento,</w:t>
      </w:r>
      <w:r w:rsidR="00432970">
        <w:rPr>
          <w:rFonts w:ascii="Arial" w:hAnsi="Arial" w:cs="Arial"/>
        </w:rPr>
        <w:t xml:space="preserve"> delle varie poste del patrimonio che il Rendiconto Finanziario non consente di evidenziare.</w:t>
      </w:r>
    </w:p>
    <w:p w:rsidR="00937CAB" w:rsidRDefault="00937CAB" w:rsidP="00937CAB">
      <w:pPr>
        <w:jc w:val="both"/>
        <w:rPr>
          <w:rFonts w:ascii="Arial" w:hAnsi="Arial" w:cs="Arial"/>
        </w:rPr>
      </w:pPr>
    </w:p>
    <w:p w:rsidR="00937CAB" w:rsidRPr="007638D5" w:rsidRDefault="00937CAB" w:rsidP="00937CAB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b/>
        </w:rPr>
      </w:pPr>
      <w:r w:rsidRPr="007638D5">
        <w:rPr>
          <w:rFonts w:ascii="Arial" w:hAnsi="Arial" w:cs="Arial"/>
          <w:b/>
        </w:rPr>
        <w:t>Analisi del “Rendiconto Finanziario</w:t>
      </w:r>
      <w:r w:rsidR="00556C54">
        <w:rPr>
          <w:rFonts w:ascii="Arial" w:hAnsi="Arial" w:cs="Arial"/>
          <w:b/>
        </w:rPr>
        <w:t xml:space="preserve"> Consuntivo</w:t>
      </w:r>
      <w:r w:rsidRPr="007638D5">
        <w:rPr>
          <w:rFonts w:ascii="Arial" w:hAnsi="Arial" w:cs="Arial"/>
          <w:b/>
        </w:rPr>
        <w:t>”</w:t>
      </w:r>
    </w:p>
    <w:p w:rsidR="00F1161D" w:rsidRDefault="00967650" w:rsidP="00F1161D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Il Rendiconto Finanziario </w:t>
      </w:r>
      <w:r w:rsidR="00C257AB">
        <w:rPr>
          <w:rFonts w:ascii="Arial" w:hAnsi="Arial" w:cs="Arial"/>
        </w:rPr>
        <w:t xml:space="preserve">Consuntivo </w:t>
      </w:r>
      <w:r w:rsidR="00D12A0B">
        <w:rPr>
          <w:rFonts w:ascii="Arial" w:hAnsi="Arial" w:cs="Arial"/>
        </w:rPr>
        <w:t>evidenzia</w:t>
      </w:r>
      <w:r>
        <w:rPr>
          <w:rFonts w:ascii="Arial" w:hAnsi="Arial" w:cs="Arial"/>
        </w:rPr>
        <w:t xml:space="preserve"> un “avanzo di cassa” di Euro </w:t>
      </w:r>
      <w:r w:rsidR="00C2211D">
        <w:rPr>
          <w:rFonts w:ascii="Arial" w:hAnsi="Arial" w:cs="Arial"/>
        </w:rPr>
        <w:t>415.</w:t>
      </w:r>
      <w:r w:rsidR="00B10C1C">
        <w:rPr>
          <w:rFonts w:ascii="Arial" w:hAnsi="Arial" w:cs="Arial"/>
        </w:rPr>
        <w:t>090,16</w:t>
      </w:r>
      <w:r w:rsidR="00294EF0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CA6BA6">
        <w:rPr>
          <w:rFonts w:ascii="Arial" w:hAnsi="Arial" w:cs="Arial"/>
        </w:rPr>
        <w:t xml:space="preserve">L’”avanzo di cassa” è la risultante </w:t>
      </w:r>
      <w:r w:rsidR="00F1161D">
        <w:rPr>
          <w:rFonts w:ascii="Arial" w:hAnsi="Arial" w:cs="Arial"/>
        </w:rPr>
        <w:t xml:space="preserve">delle giacenze </w:t>
      </w:r>
      <w:r w:rsidR="006F747D">
        <w:rPr>
          <w:rFonts w:ascii="Arial" w:hAnsi="Arial" w:cs="Arial"/>
        </w:rPr>
        <w:t xml:space="preserve">presenti </w:t>
      </w:r>
      <w:r w:rsidR="00F1161D">
        <w:rPr>
          <w:rFonts w:ascii="Arial" w:hAnsi="Arial" w:cs="Arial"/>
        </w:rPr>
        <w:t xml:space="preserve">ad inizio esercizio sommate algebricamente con le entrate e le uscite dell’esercizio, e rappresenta la dotazione di disponibilità liquide dell’Ente, </w:t>
      </w:r>
      <w:r w:rsidR="00294EF0">
        <w:rPr>
          <w:rFonts w:ascii="Arial" w:hAnsi="Arial" w:cs="Arial"/>
        </w:rPr>
        <w:t xml:space="preserve">costituite dalle </w:t>
      </w:r>
      <w:r w:rsidR="00B10C1C">
        <w:rPr>
          <w:rFonts w:ascii="Arial" w:hAnsi="Arial" w:cs="Arial"/>
        </w:rPr>
        <w:t>disponibilità</w:t>
      </w:r>
      <w:r w:rsidR="00F1161D">
        <w:rPr>
          <w:rFonts w:ascii="Arial" w:hAnsi="Arial" w:cs="Arial"/>
        </w:rPr>
        <w:t xml:space="preserve"> ba</w:t>
      </w:r>
      <w:r w:rsidR="00B10C1C">
        <w:rPr>
          <w:rFonts w:ascii="Arial" w:hAnsi="Arial" w:cs="Arial"/>
        </w:rPr>
        <w:t>ncarie</w:t>
      </w:r>
      <w:r w:rsidR="00294EF0">
        <w:rPr>
          <w:rFonts w:ascii="Arial" w:hAnsi="Arial" w:cs="Arial"/>
        </w:rPr>
        <w:t xml:space="preserve"> e da contanti in cassa</w:t>
      </w:r>
      <w:r w:rsidR="00F1161D">
        <w:rPr>
          <w:rFonts w:ascii="Arial" w:hAnsi="Arial" w:cs="Arial"/>
        </w:rPr>
        <w:t>.</w:t>
      </w:r>
    </w:p>
    <w:p w:rsidR="00CA6BA6" w:rsidRDefault="00CA6BA6" w:rsidP="00937CAB">
      <w:pPr>
        <w:ind w:left="360"/>
        <w:jc w:val="both"/>
        <w:rPr>
          <w:rFonts w:ascii="Arial" w:hAnsi="Arial" w:cs="Arial"/>
        </w:rPr>
      </w:pPr>
    </w:p>
    <w:p w:rsidR="00CA6BA6" w:rsidRDefault="00CA6BA6" w:rsidP="00937CAB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Riguardo le singole voci del documento si propongono le seguenti osservazioni:</w:t>
      </w:r>
    </w:p>
    <w:p w:rsidR="00B04157" w:rsidRDefault="00CA6BA6" w:rsidP="00CA6BA6">
      <w:pPr>
        <w:pStyle w:val="Paragrafoelenco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Tra le “</w:t>
      </w:r>
      <w:r w:rsidRPr="00C257AB">
        <w:rPr>
          <w:rFonts w:ascii="Arial" w:hAnsi="Arial" w:cs="Arial"/>
          <w:b/>
        </w:rPr>
        <w:t>Entrate</w:t>
      </w:r>
      <w:r>
        <w:rPr>
          <w:rFonts w:ascii="Arial" w:hAnsi="Arial" w:cs="Arial"/>
        </w:rPr>
        <w:t>”:</w:t>
      </w:r>
    </w:p>
    <w:p w:rsidR="007638D5" w:rsidRDefault="004D2F6D" w:rsidP="004D2F6D">
      <w:pPr>
        <w:pStyle w:val="Paragrafoelenco"/>
        <w:numPr>
          <w:ilvl w:val="1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L’avanzo di gestione dell’esercizio finanziario precedente è pari a Euro </w:t>
      </w:r>
      <w:r w:rsidR="00C2211D">
        <w:rPr>
          <w:rFonts w:ascii="Arial" w:hAnsi="Arial" w:cs="Arial"/>
        </w:rPr>
        <w:t>414.935,93</w:t>
      </w:r>
      <w:r>
        <w:rPr>
          <w:rFonts w:ascii="Arial" w:hAnsi="Arial" w:cs="Arial"/>
        </w:rPr>
        <w:t>, corrispondente a</w:t>
      </w:r>
      <w:r w:rsidR="00065AAE">
        <w:rPr>
          <w:rFonts w:ascii="Arial" w:hAnsi="Arial" w:cs="Arial"/>
        </w:rPr>
        <w:t>lle giacenze allora disponibili</w:t>
      </w:r>
      <w:r w:rsidR="007549DE">
        <w:rPr>
          <w:rFonts w:ascii="Arial" w:hAnsi="Arial" w:cs="Arial"/>
        </w:rPr>
        <w:t>;</w:t>
      </w:r>
    </w:p>
    <w:p w:rsidR="007549DE" w:rsidRPr="00C17D87" w:rsidRDefault="007549DE" w:rsidP="004D2F6D">
      <w:pPr>
        <w:pStyle w:val="Paragrafoelenco"/>
        <w:numPr>
          <w:ilvl w:val="1"/>
          <w:numId w:val="3"/>
        </w:numPr>
        <w:jc w:val="both"/>
        <w:rPr>
          <w:rFonts w:ascii="Arial" w:hAnsi="Arial" w:cs="Arial"/>
        </w:rPr>
      </w:pPr>
      <w:r w:rsidRPr="00C17D87">
        <w:rPr>
          <w:rFonts w:ascii="Arial" w:hAnsi="Arial" w:cs="Arial"/>
        </w:rPr>
        <w:t xml:space="preserve">Gli introiti per “tassa collegiale” versata dagli iscritti sono stati pari a Euro </w:t>
      </w:r>
      <w:r w:rsidR="00C17D87" w:rsidRPr="00C17D87">
        <w:rPr>
          <w:rFonts w:ascii="Arial" w:hAnsi="Arial" w:cs="Arial"/>
        </w:rPr>
        <w:t>174.509,66, con una riduzione di circa il 12% rispetto al precedente esercizio</w:t>
      </w:r>
      <w:r w:rsidRPr="00C17D87">
        <w:rPr>
          <w:rFonts w:ascii="Arial" w:hAnsi="Arial" w:cs="Arial"/>
        </w:rPr>
        <w:t>;</w:t>
      </w:r>
    </w:p>
    <w:p w:rsidR="007549DE" w:rsidRPr="00C17D87" w:rsidRDefault="007549DE" w:rsidP="004D2F6D">
      <w:pPr>
        <w:pStyle w:val="Paragrafoelenco"/>
        <w:numPr>
          <w:ilvl w:val="1"/>
          <w:numId w:val="3"/>
        </w:numPr>
        <w:jc w:val="both"/>
        <w:rPr>
          <w:rFonts w:ascii="Arial" w:hAnsi="Arial" w:cs="Arial"/>
        </w:rPr>
      </w:pPr>
      <w:r w:rsidRPr="00C17D87">
        <w:rPr>
          <w:rFonts w:ascii="Arial" w:hAnsi="Arial" w:cs="Arial"/>
        </w:rPr>
        <w:t>Le somme a titolo di oblazion</w:t>
      </w:r>
      <w:r w:rsidR="0061655C" w:rsidRPr="00C17D87">
        <w:rPr>
          <w:rFonts w:ascii="Arial" w:hAnsi="Arial" w:cs="Arial"/>
        </w:rPr>
        <w:t>i</w:t>
      </w:r>
      <w:r w:rsidRPr="00C17D87">
        <w:rPr>
          <w:rFonts w:ascii="Arial" w:hAnsi="Arial" w:cs="Arial"/>
        </w:rPr>
        <w:t xml:space="preserve">, comminate dall’Archivio Notarile e accreditate al Consiglio, sono state pari a Euro </w:t>
      </w:r>
      <w:r w:rsidR="00C17D87" w:rsidRPr="00C17D87">
        <w:rPr>
          <w:rFonts w:ascii="Arial" w:hAnsi="Arial" w:cs="Arial"/>
        </w:rPr>
        <w:t>1.970,50;</w:t>
      </w:r>
    </w:p>
    <w:p w:rsidR="00C17D87" w:rsidRPr="00C17D87" w:rsidRDefault="00C17D87" w:rsidP="004D2F6D">
      <w:pPr>
        <w:pStyle w:val="Paragrafoelenco"/>
        <w:numPr>
          <w:ilvl w:val="1"/>
          <w:numId w:val="3"/>
        </w:numPr>
        <w:jc w:val="both"/>
        <w:rPr>
          <w:rFonts w:ascii="Arial" w:hAnsi="Arial" w:cs="Arial"/>
        </w:rPr>
      </w:pPr>
      <w:r w:rsidRPr="00C17D87">
        <w:rPr>
          <w:rFonts w:ascii="Arial" w:hAnsi="Arial" w:cs="Arial"/>
        </w:rPr>
        <w:t>Sono stati ottenuti rimborsi per Euro 23.151,51 a fronte delle spese legali sostenute in precedenti esercizi per contenziosi andati a sentenza con esito positivo.</w:t>
      </w:r>
    </w:p>
    <w:p w:rsidR="007549DE" w:rsidRPr="007549DE" w:rsidRDefault="007549DE" w:rsidP="007549DE">
      <w:pPr>
        <w:ind w:left="1506"/>
        <w:jc w:val="both"/>
        <w:rPr>
          <w:rFonts w:ascii="Arial" w:hAnsi="Arial" w:cs="Arial"/>
        </w:rPr>
      </w:pPr>
    </w:p>
    <w:p w:rsidR="007549DE" w:rsidRDefault="007549DE" w:rsidP="007549DE">
      <w:pPr>
        <w:pStyle w:val="Paragrafoelenco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Tra le “</w:t>
      </w:r>
      <w:r w:rsidRPr="00C257AB">
        <w:rPr>
          <w:rFonts w:ascii="Arial" w:hAnsi="Arial" w:cs="Arial"/>
          <w:b/>
        </w:rPr>
        <w:t>Uscite</w:t>
      </w:r>
      <w:r w:rsidR="00684DF1" w:rsidRPr="00C257AB">
        <w:rPr>
          <w:rFonts w:ascii="Arial" w:hAnsi="Arial" w:cs="Arial"/>
          <w:b/>
        </w:rPr>
        <w:t xml:space="preserve"> per spese correnti</w:t>
      </w:r>
      <w:r>
        <w:rPr>
          <w:rFonts w:ascii="Arial" w:hAnsi="Arial" w:cs="Arial"/>
        </w:rPr>
        <w:t>”:</w:t>
      </w:r>
    </w:p>
    <w:p w:rsidR="00FC53BB" w:rsidRDefault="00FC53BB" w:rsidP="007549DE">
      <w:pPr>
        <w:pStyle w:val="Paragrafoelenco"/>
        <w:numPr>
          <w:ilvl w:val="1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Gli oneri per il personale dipendente comprendono gli esborsi sostenuti per le retribuzioni</w:t>
      </w:r>
      <w:r w:rsidR="00AF0A17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i contributi previdenziali e assistenziali</w:t>
      </w:r>
      <w:r w:rsidR="00AF0A17">
        <w:rPr>
          <w:rFonts w:ascii="Arial" w:hAnsi="Arial" w:cs="Arial"/>
        </w:rPr>
        <w:t xml:space="preserve"> e i fondi per straordinari e buoni pasto</w:t>
      </w:r>
      <w:r>
        <w:rPr>
          <w:rFonts w:ascii="Arial" w:hAnsi="Arial" w:cs="Arial"/>
        </w:rPr>
        <w:t>. Trovano separata esposizione le spese relative al personale “in somministrazione” di cui il Consiglio si avvale;</w:t>
      </w:r>
    </w:p>
    <w:p w:rsidR="007549DE" w:rsidRDefault="00FC53BB" w:rsidP="007549DE">
      <w:pPr>
        <w:pStyle w:val="Paragrafoelenco"/>
        <w:numPr>
          <w:ilvl w:val="1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Le spese per “Prestazioni professionali” sono costituite </w:t>
      </w:r>
      <w:r w:rsidR="00625EA2">
        <w:rPr>
          <w:rFonts w:ascii="Arial" w:hAnsi="Arial" w:cs="Arial"/>
        </w:rPr>
        <w:t>dagli emolumenti corrisposti ai Legali che hanno assistito o assistono l’Ente nei procedimenti presso i</w:t>
      </w:r>
      <w:r w:rsidR="00AF0A17">
        <w:rPr>
          <w:rFonts w:ascii="Arial" w:hAnsi="Arial" w:cs="Arial"/>
        </w:rPr>
        <w:t xml:space="preserve"> vari organismi giurisdizionali,</w:t>
      </w:r>
      <w:r w:rsidR="00625EA2">
        <w:rPr>
          <w:rFonts w:ascii="Arial" w:hAnsi="Arial" w:cs="Arial"/>
        </w:rPr>
        <w:t xml:space="preserve"> </w:t>
      </w:r>
      <w:r w:rsidR="00AF0A17">
        <w:rPr>
          <w:rFonts w:ascii="Arial" w:hAnsi="Arial" w:cs="Arial"/>
        </w:rPr>
        <w:t xml:space="preserve">e da quelle sostenute per </w:t>
      </w:r>
      <w:r w:rsidR="00625EA2">
        <w:rPr>
          <w:rFonts w:ascii="Arial" w:hAnsi="Arial" w:cs="Arial"/>
        </w:rPr>
        <w:t>la consulenza del Dottore Commerciali</w:t>
      </w:r>
      <w:r w:rsidR="009C7233">
        <w:rPr>
          <w:rFonts w:ascii="Arial" w:hAnsi="Arial" w:cs="Arial"/>
        </w:rPr>
        <w:t>sta e del Consulente del Lavoro;</w:t>
      </w:r>
    </w:p>
    <w:p w:rsidR="009C7233" w:rsidRDefault="00C755E0" w:rsidP="007549DE">
      <w:pPr>
        <w:pStyle w:val="Paragrafoelenco"/>
        <w:numPr>
          <w:ilvl w:val="1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Il “Contributo COREDI” corrisponde alla contribuzione ordinaria versata alla Commissione Amministrativa Regionale di Disciplina per l’esercizio finanziario 202</w:t>
      </w:r>
      <w:r w:rsidR="00AF0A17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, pari a Euro </w:t>
      </w:r>
      <w:r w:rsidR="00AF0A17">
        <w:rPr>
          <w:rFonts w:ascii="Arial" w:hAnsi="Arial" w:cs="Arial"/>
        </w:rPr>
        <w:t>32.243,10</w:t>
      </w:r>
      <w:r>
        <w:rPr>
          <w:rFonts w:ascii="Arial" w:hAnsi="Arial" w:cs="Arial"/>
        </w:rPr>
        <w:t>;</w:t>
      </w:r>
    </w:p>
    <w:p w:rsidR="00B910B1" w:rsidRPr="00B910B1" w:rsidRDefault="00AF0A17" w:rsidP="00636C96">
      <w:pPr>
        <w:pStyle w:val="Paragrafoelenco"/>
        <w:numPr>
          <w:ilvl w:val="1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Gli “Oneri Tributari” sono costituiti</w:t>
      </w:r>
      <w:r w:rsidR="00C755E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dall’IRAP </w:t>
      </w:r>
      <w:r w:rsidR="00636C96">
        <w:rPr>
          <w:rFonts w:ascii="Arial" w:hAnsi="Arial" w:cs="Arial"/>
        </w:rPr>
        <w:t xml:space="preserve">(che il Consiglio, quale Ente Pubblico, corrisponde mediante </w:t>
      </w:r>
      <w:r w:rsidR="00065AAE">
        <w:rPr>
          <w:rFonts w:ascii="Arial" w:hAnsi="Arial" w:cs="Arial"/>
        </w:rPr>
        <w:t xml:space="preserve">pagamenti </w:t>
      </w:r>
      <w:r w:rsidR="00065AAE">
        <w:rPr>
          <w:rFonts w:ascii="Arial" w:hAnsi="Arial" w:cs="Arial"/>
        </w:rPr>
        <w:t xml:space="preserve">mensili </w:t>
      </w:r>
      <w:r w:rsidR="00065AAE">
        <w:rPr>
          <w:rFonts w:ascii="Arial" w:hAnsi="Arial" w:cs="Arial"/>
        </w:rPr>
        <w:t>in acconto, calcolati</w:t>
      </w:r>
      <w:r w:rsidR="00D12A0B">
        <w:rPr>
          <w:rFonts w:ascii="Arial" w:hAnsi="Arial" w:cs="Arial"/>
        </w:rPr>
        <w:t xml:space="preserve"> </w:t>
      </w:r>
      <w:r w:rsidR="00065AAE">
        <w:rPr>
          <w:rFonts w:ascii="Arial" w:hAnsi="Arial" w:cs="Arial"/>
        </w:rPr>
        <w:t>in base a</w:t>
      </w:r>
      <w:r w:rsidR="00D12A0B">
        <w:rPr>
          <w:rFonts w:ascii="Arial" w:hAnsi="Arial" w:cs="Arial"/>
        </w:rPr>
        <w:t>lle retribuzioni lorde erogate</w:t>
      </w:r>
      <w:r w:rsidR="00636C96">
        <w:rPr>
          <w:rFonts w:ascii="Arial" w:hAnsi="Arial" w:cs="Arial"/>
        </w:rPr>
        <w:t>) e dal</w:t>
      </w:r>
      <w:r w:rsidR="00B910B1">
        <w:rPr>
          <w:rFonts w:ascii="Arial" w:hAnsi="Arial" w:cs="Arial"/>
        </w:rPr>
        <w:t>l’IVA sugli acquisti di beni e servizi, liquidata col regime dello “</w:t>
      </w:r>
      <w:r w:rsidR="00B910B1" w:rsidRPr="00B910B1">
        <w:rPr>
          <w:rFonts w:ascii="Arial" w:hAnsi="Arial" w:cs="Arial"/>
          <w:i/>
        </w:rPr>
        <w:t xml:space="preserve">split </w:t>
      </w:r>
      <w:proofErr w:type="spellStart"/>
      <w:r w:rsidR="00B910B1" w:rsidRPr="00B910B1">
        <w:rPr>
          <w:rFonts w:ascii="Arial" w:hAnsi="Arial" w:cs="Arial"/>
          <w:i/>
        </w:rPr>
        <w:t>payment</w:t>
      </w:r>
      <w:proofErr w:type="spellEnd"/>
      <w:r w:rsidR="00B910B1">
        <w:rPr>
          <w:rFonts w:ascii="Arial" w:hAnsi="Arial" w:cs="Arial"/>
        </w:rPr>
        <w:t>”</w:t>
      </w:r>
      <w:r w:rsidR="00684DF1">
        <w:rPr>
          <w:rFonts w:ascii="Arial" w:hAnsi="Arial" w:cs="Arial"/>
        </w:rPr>
        <w:t>. D</w:t>
      </w:r>
      <w:r w:rsidR="00B910B1">
        <w:rPr>
          <w:rFonts w:ascii="Arial" w:hAnsi="Arial" w:cs="Arial"/>
        </w:rPr>
        <w:t xml:space="preserve">i fatto, </w:t>
      </w:r>
      <w:r w:rsidR="00684DF1">
        <w:rPr>
          <w:rFonts w:ascii="Arial" w:hAnsi="Arial" w:cs="Arial"/>
        </w:rPr>
        <w:t>per effetto di tale meccanismo</w:t>
      </w:r>
      <w:r w:rsidR="00B910B1">
        <w:rPr>
          <w:rFonts w:ascii="Arial" w:hAnsi="Arial" w:cs="Arial"/>
        </w:rPr>
        <w:t xml:space="preserve"> il Consiglio </w:t>
      </w:r>
      <w:r w:rsidR="00684DF1">
        <w:rPr>
          <w:rFonts w:ascii="Arial" w:hAnsi="Arial" w:cs="Arial"/>
        </w:rPr>
        <w:t>(quale Ente Pubblico non Economico, che non esercita neppure occasionalmente attività commerciale) resta “inciso” dall’imposta</w:t>
      </w:r>
      <w:r w:rsidR="00B910B1">
        <w:rPr>
          <w:rFonts w:ascii="Arial" w:hAnsi="Arial" w:cs="Arial"/>
        </w:rPr>
        <w:t xml:space="preserve"> </w:t>
      </w:r>
    </w:p>
    <w:p w:rsidR="00684DF1" w:rsidRDefault="00684DF1" w:rsidP="00684DF1">
      <w:pPr>
        <w:pStyle w:val="Paragrafoelenco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Le “</w:t>
      </w:r>
      <w:r w:rsidRPr="00C257AB">
        <w:rPr>
          <w:rFonts w:ascii="Arial" w:hAnsi="Arial" w:cs="Arial"/>
          <w:b/>
        </w:rPr>
        <w:t>Uscite per spese in conto capitale</w:t>
      </w:r>
      <w:r>
        <w:rPr>
          <w:rFonts w:ascii="Arial" w:hAnsi="Arial" w:cs="Arial"/>
        </w:rPr>
        <w:t xml:space="preserve">” sono relative agli acquisti di Immobilizzazioni Tecniche che, nell’esercizio finanziario in esame, hanno riguardato </w:t>
      </w:r>
      <w:r w:rsidR="00636C96">
        <w:rPr>
          <w:rFonts w:ascii="Arial" w:hAnsi="Arial" w:cs="Arial"/>
        </w:rPr>
        <w:t>l’</w:t>
      </w:r>
      <w:r w:rsidR="00493493">
        <w:rPr>
          <w:rFonts w:ascii="Arial" w:hAnsi="Arial" w:cs="Arial"/>
        </w:rPr>
        <w:t xml:space="preserve">acquisto di </w:t>
      </w:r>
      <w:r w:rsidR="00636C96">
        <w:rPr>
          <w:rFonts w:ascii="Arial" w:hAnsi="Arial" w:cs="Arial"/>
        </w:rPr>
        <w:t>un pc</w:t>
      </w:r>
      <w:r w:rsidR="00493493">
        <w:rPr>
          <w:rFonts w:ascii="Arial" w:hAnsi="Arial" w:cs="Arial"/>
        </w:rPr>
        <w:t>.</w:t>
      </w:r>
    </w:p>
    <w:p w:rsidR="00292301" w:rsidRDefault="00292301" w:rsidP="00292301">
      <w:pPr>
        <w:pStyle w:val="Paragrafoelenco"/>
        <w:numPr>
          <w:ilvl w:val="0"/>
          <w:numId w:val="3"/>
        </w:numPr>
        <w:jc w:val="both"/>
        <w:rPr>
          <w:rFonts w:ascii="Arial" w:hAnsi="Arial" w:cs="Arial"/>
        </w:rPr>
      </w:pPr>
      <w:r w:rsidRPr="00292301">
        <w:rPr>
          <w:rFonts w:ascii="Arial" w:hAnsi="Arial" w:cs="Arial"/>
        </w:rPr>
        <w:t>Le “</w:t>
      </w:r>
      <w:r w:rsidRPr="00C257AB">
        <w:rPr>
          <w:rFonts w:ascii="Arial" w:hAnsi="Arial" w:cs="Arial"/>
          <w:b/>
        </w:rPr>
        <w:t>Partite di Giro</w:t>
      </w:r>
      <w:r w:rsidRPr="00292301">
        <w:rPr>
          <w:rFonts w:ascii="Arial" w:hAnsi="Arial" w:cs="Arial"/>
        </w:rPr>
        <w:t xml:space="preserve">” sono </w:t>
      </w:r>
      <w:r>
        <w:rPr>
          <w:rFonts w:ascii="Arial" w:hAnsi="Arial" w:cs="Arial"/>
        </w:rPr>
        <w:t xml:space="preserve">somme incassate o trattenute in qualità di sostituto alla riscossione, che vengono poi riversate all’Ente destinatario. A </w:t>
      </w:r>
      <w:proofErr w:type="spellStart"/>
      <w:r>
        <w:rPr>
          <w:rFonts w:ascii="Arial" w:hAnsi="Arial" w:cs="Arial"/>
        </w:rPr>
        <w:t>motivo</w:t>
      </w:r>
      <w:proofErr w:type="spellEnd"/>
      <w:r>
        <w:rPr>
          <w:rFonts w:ascii="Arial" w:hAnsi="Arial" w:cs="Arial"/>
        </w:rPr>
        <w:t xml:space="preserve"> di ciò, esse sono registrate nel consuntivo contemporaneamente, e per lo stesso ammontare, in entrata e in uscita.</w:t>
      </w:r>
    </w:p>
    <w:p w:rsidR="00CA6BA6" w:rsidRPr="00AF204A" w:rsidRDefault="00AF204A" w:rsidP="00AF204A">
      <w:pPr>
        <w:pStyle w:val="Paragrafoelenco"/>
        <w:numPr>
          <w:ilvl w:val="0"/>
          <w:numId w:val="3"/>
        </w:numPr>
        <w:jc w:val="both"/>
        <w:rPr>
          <w:rFonts w:ascii="Arial" w:hAnsi="Arial" w:cs="Arial"/>
        </w:rPr>
      </w:pPr>
      <w:r w:rsidRPr="00AF204A">
        <w:rPr>
          <w:rFonts w:ascii="Arial" w:hAnsi="Arial" w:cs="Arial"/>
        </w:rPr>
        <w:t>L</w:t>
      </w:r>
      <w:r>
        <w:rPr>
          <w:rFonts w:ascii="Arial" w:hAnsi="Arial" w:cs="Arial"/>
        </w:rPr>
        <w:t>a voce</w:t>
      </w:r>
      <w:r w:rsidRPr="00AF204A">
        <w:rPr>
          <w:rFonts w:ascii="Arial" w:hAnsi="Arial" w:cs="Arial"/>
        </w:rPr>
        <w:t xml:space="preserve"> “</w:t>
      </w:r>
      <w:r w:rsidRPr="00C257AB">
        <w:rPr>
          <w:rFonts w:ascii="Arial" w:hAnsi="Arial" w:cs="Arial"/>
          <w:b/>
        </w:rPr>
        <w:t>Avanzo di gestione esercizio finanziario corrente</w:t>
      </w:r>
      <w:r w:rsidRPr="00AF204A">
        <w:rPr>
          <w:rFonts w:ascii="Arial" w:hAnsi="Arial" w:cs="Arial"/>
        </w:rPr>
        <w:t xml:space="preserve">” </w:t>
      </w:r>
      <w:r>
        <w:rPr>
          <w:rFonts w:ascii="Arial" w:hAnsi="Arial" w:cs="Arial"/>
        </w:rPr>
        <w:t xml:space="preserve">rappresenta la “quadratura contabile” del Rendiconto Finanziario, </w:t>
      </w:r>
      <w:r w:rsidR="007C52E8">
        <w:rPr>
          <w:rFonts w:ascii="Arial" w:hAnsi="Arial" w:cs="Arial"/>
        </w:rPr>
        <w:t>pari alla</w:t>
      </w:r>
      <w:r>
        <w:rPr>
          <w:rFonts w:ascii="Arial" w:hAnsi="Arial" w:cs="Arial"/>
        </w:rPr>
        <w:t xml:space="preserve"> somma algebrica tra l’avanzo di gestione dell’esercizio precedente e </w:t>
      </w:r>
      <w:r w:rsidR="00A64328">
        <w:rPr>
          <w:rFonts w:ascii="Arial" w:hAnsi="Arial" w:cs="Arial"/>
        </w:rPr>
        <w:t xml:space="preserve">il saldo tra </w:t>
      </w:r>
      <w:r>
        <w:rPr>
          <w:rFonts w:ascii="Arial" w:hAnsi="Arial" w:cs="Arial"/>
        </w:rPr>
        <w:t>entrate e uscite dell’esercizio corrente. Esso corrisponde alle disponibilità liquide alla data del 31.12.202</w:t>
      </w:r>
      <w:r w:rsidR="00165F35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giacenti presso il conto corrente bancario e (per modesto importo) </w:t>
      </w:r>
      <w:r w:rsidR="00591D40">
        <w:rPr>
          <w:rFonts w:ascii="Arial" w:hAnsi="Arial" w:cs="Arial"/>
        </w:rPr>
        <w:t>in cassa.</w:t>
      </w:r>
      <w:r w:rsidR="00165F35">
        <w:rPr>
          <w:rFonts w:ascii="Arial" w:hAnsi="Arial" w:cs="Arial"/>
        </w:rPr>
        <w:t xml:space="preserve"> In merito alle disponibilità bancarie occorre precisare che, quanto all’importo di Euro 300.000,00, le stesse nel mese di ottobre </w:t>
      </w:r>
      <w:r w:rsidR="00912325">
        <w:rPr>
          <w:rFonts w:ascii="Arial" w:hAnsi="Arial" w:cs="Arial"/>
        </w:rPr>
        <w:t>dell’anno 20</w:t>
      </w:r>
      <w:r w:rsidR="00A64328">
        <w:rPr>
          <w:rFonts w:ascii="Arial" w:hAnsi="Arial" w:cs="Arial"/>
        </w:rPr>
        <w:t>2</w:t>
      </w:r>
      <w:r w:rsidR="00912325">
        <w:rPr>
          <w:rFonts w:ascii="Arial" w:hAnsi="Arial" w:cs="Arial"/>
        </w:rPr>
        <w:t xml:space="preserve">4 sono state vincolate (con vincolo di durata </w:t>
      </w:r>
      <w:proofErr w:type="spellStart"/>
      <w:r w:rsidR="00912325">
        <w:rPr>
          <w:rFonts w:ascii="Arial" w:hAnsi="Arial" w:cs="Arial"/>
        </w:rPr>
        <w:t>infrannuale</w:t>
      </w:r>
      <w:proofErr w:type="spellEnd"/>
      <w:r w:rsidR="00912325">
        <w:rPr>
          <w:rFonts w:ascii="Arial" w:hAnsi="Arial" w:cs="Arial"/>
        </w:rPr>
        <w:t xml:space="preserve">), allo scopo di ottenere un rendimento superiore a quello, praticamente inesistente, offerto </w:t>
      </w:r>
      <w:r w:rsidR="00636C96">
        <w:rPr>
          <w:rFonts w:ascii="Arial" w:hAnsi="Arial" w:cs="Arial"/>
        </w:rPr>
        <w:t>sulle somme giacenti sul</w:t>
      </w:r>
      <w:r w:rsidR="00912325">
        <w:rPr>
          <w:rFonts w:ascii="Arial" w:hAnsi="Arial" w:cs="Arial"/>
        </w:rPr>
        <w:t xml:space="preserve"> conto corrente ordinario.</w:t>
      </w:r>
    </w:p>
    <w:p w:rsidR="00937CAB" w:rsidRDefault="00937CAB" w:rsidP="00937CAB">
      <w:pPr>
        <w:ind w:left="360"/>
        <w:jc w:val="both"/>
        <w:rPr>
          <w:rFonts w:ascii="Arial" w:hAnsi="Arial" w:cs="Arial"/>
        </w:rPr>
      </w:pPr>
    </w:p>
    <w:p w:rsidR="00D00BFF" w:rsidRPr="007638D5" w:rsidRDefault="00D00BFF" w:rsidP="00D00BFF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b/>
        </w:rPr>
      </w:pPr>
      <w:r w:rsidRPr="007638D5">
        <w:rPr>
          <w:rFonts w:ascii="Arial" w:hAnsi="Arial" w:cs="Arial"/>
          <w:b/>
        </w:rPr>
        <w:t>Ana</w:t>
      </w:r>
      <w:r>
        <w:rPr>
          <w:rFonts w:ascii="Arial" w:hAnsi="Arial" w:cs="Arial"/>
          <w:b/>
        </w:rPr>
        <w:t>lisi dello “Stato Patrimoniale</w:t>
      </w:r>
      <w:r w:rsidRPr="007638D5">
        <w:rPr>
          <w:rFonts w:ascii="Arial" w:hAnsi="Arial" w:cs="Arial"/>
          <w:b/>
        </w:rPr>
        <w:t>”</w:t>
      </w:r>
    </w:p>
    <w:p w:rsidR="00D00BFF" w:rsidRDefault="00861A79" w:rsidP="00937CAB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D00BFF">
        <w:rPr>
          <w:rFonts w:ascii="Arial" w:hAnsi="Arial" w:cs="Arial"/>
        </w:rPr>
        <w:t>o Stato Patrimoniale</w:t>
      </w:r>
      <w:r>
        <w:rPr>
          <w:rFonts w:ascii="Arial" w:hAnsi="Arial" w:cs="Arial"/>
        </w:rPr>
        <w:t xml:space="preserve"> rappresenta una “fotografia” della consistenza quantitativa e qualitativa delle poste che compongono il patrimonio dell’Ente, diversamente dal “Rendiconto Finanziario” che invece riepiloga i flussi in entrata e in uscita rilevati (sulla base del “principio di cassa”) nell’esercizio finanziario.</w:t>
      </w:r>
    </w:p>
    <w:p w:rsidR="00861A79" w:rsidRDefault="00861A79" w:rsidP="00937CAB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In merito alle poste evidenziate</w:t>
      </w:r>
      <w:r w:rsidR="001B1A06">
        <w:rPr>
          <w:rFonts w:ascii="Arial" w:hAnsi="Arial" w:cs="Arial"/>
        </w:rPr>
        <w:t>, nel seguito</w:t>
      </w:r>
      <w:r>
        <w:rPr>
          <w:rFonts w:ascii="Arial" w:hAnsi="Arial" w:cs="Arial"/>
        </w:rPr>
        <w:t xml:space="preserve"> si </w:t>
      </w:r>
      <w:r w:rsidR="00D936B9">
        <w:rPr>
          <w:rFonts w:ascii="Arial" w:hAnsi="Arial" w:cs="Arial"/>
        </w:rPr>
        <w:t xml:space="preserve">illustrano i criteri di valutazione utilizzati </w:t>
      </w:r>
      <w:r w:rsidR="0061655C">
        <w:rPr>
          <w:rFonts w:ascii="Arial" w:hAnsi="Arial" w:cs="Arial"/>
        </w:rPr>
        <w:t>e si propongono</w:t>
      </w:r>
      <w:r w:rsidR="001B1A06">
        <w:rPr>
          <w:rFonts w:ascii="Arial" w:hAnsi="Arial" w:cs="Arial"/>
        </w:rPr>
        <w:t xml:space="preserve"> alcune </w:t>
      </w:r>
      <w:r>
        <w:rPr>
          <w:rFonts w:ascii="Arial" w:hAnsi="Arial" w:cs="Arial"/>
        </w:rPr>
        <w:t>osservazioni:</w:t>
      </w:r>
    </w:p>
    <w:p w:rsidR="00861A79" w:rsidRDefault="00D936B9" w:rsidP="00D936B9">
      <w:pPr>
        <w:pStyle w:val="Paragrafoelenco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Le </w:t>
      </w:r>
      <w:r w:rsidR="001B1A06">
        <w:rPr>
          <w:rFonts w:ascii="Arial" w:hAnsi="Arial" w:cs="Arial"/>
        </w:rPr>
        <w:t>“I</w:t>
      </w:r>
      <w:r>
        <w:rPr>
          <w:rFonts w:ascii="Arial" w:hAnsi="Arial" w:cs="Arial"/>
        </w:rPr>
        <w:t>mmobilizzazioni</w:t>
      </w:r>
      <w:r w:rsidR="001B1A06">
        <w:rPr>
          <w:rFonts w:ascii="Arial" w:hAnsi="Arial" w:cs="Arial"/>
        </w:rPr>
        <w:t>”</w:t>
      </w:r>
      <w:r>
        <w:rPr>
          <w:rFonts w:ascii="Arial" w:hAnsi="Arial" w:cs="Arial"/>
        </w:rPr>
        <w:t xml:space="preserve"> </w:t>
      </w:r>
      <w:r w:rsidR="009D1132">
        <w:rPr>
          <w:rFonts w:ascii="Arial" w:hAnsi="Arial" w:cs="Arial"/>
        </w:rPr>
        <w:t xml:space="preserve">(costituite da immobilizzazioni materiali) </w:t>
      </w:r>
      <w:r>
        <w:rPr>
          <w:rFonts w:ascii="Arial" w:hAnsi="Arial" w:cs="Arial"/>
        </w:rPr>
        <w:t>sono iscritte al costo ori</w:t>
      </w:r>
      <w:r w:rsidR="000F6662">
        <w:rPr>
          <w:rFonts w:ascii="Arial" w:hAnsi="Arial" w:cs="Arial"/>
        </w:rPr>
        <w:t>ginario di acquisto, rettificato</w:t>
      </w:r>
      <w:r>
        <w:rPr>
          <w:rFonts w:ascii="Arial" w:hAnsi="Arial" w:cs="Arial"/>
        </w:rPr>
        <w:t xml:space="preserve"> dai corrispondenti</w:t>
      </w:r>
      <w:r w:rsidR="009D1132">
        <w:rPr>
          <w:rFonts w:ascii="Arial" w:hAnsi="Arial" w:cs="Arial"/>
        </w:rPr>
        <w:t xml:space="preserve"> fondi di ammortamento, le cui quote sono calcolate tenendo conto dell’utilizzo e della durata economico-tecnica dei cespiti.</w:t>
      </w:r>
    </w:p>
    <w:p w:rsidR="001B1A06" w:rsidRDefault="009D1132" w:rsidP="009D1132">
      <w:pPr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</w:rPr>
        <w:t>Nell’esercizio finanziario</w:t>
      </w:r>
      <w:r w:rsidR="001B1A06">
        <w:rPr>
          <w:rFonts w:ascii="Arial" w:hAnsi="Arial" w:cs="Arial"/>
        </w:rPr>
        <w:t xml:space="preserve"> si è avuta l’acquisizione di un cespite di </w:t>
      </w:r>
      <w:r w:rsidR="00B327D2">
        <w:rPr>
          <w:rFonts w:ascii="Arial" w:hAnsi="Arial" w:cs="Arial"/>
        </w:rPr>
        <w:t>valore pari a Euro 1.140,00</w:t>
      </w:r>
      <w:r w:rsidR="001B1A06">
        <w:rPr>
          <w:rFonts w:ascii="Arial" w:hAnsi="Arial" w:cs="Arial"/>
        </w:rPr>
        <w:t>;</w:t>
      </w:r>
    </w:p>
    <w:p w:rsidR="00757851" w:rsidRDefault="001B1A06" w:rsidP="00757851">
      <w:pPr>
        <w:pStyle w:val="Paragrafoelenco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Le </w:t>
      </w:r>
      <w:r w:rsidR="004501BA">
        <w:rPr>
          <w:rFonts w:ascii="Arial" w:hAnsi="Arial" w:cs="Arial"/>
        </w:rPr>
        <w:t>“Disponibilità liquide” sono</w:t>
      </w:r>
      <w:bookmarkStart w:id="0" w:name="_GoBack"/>
      <w:bookmarkEnd w:id="0"/>
      <w:r w:rsidR="000F6662">
        <w:rPr>
          <w:rFonts w:ascii="Arial" w:hAnsi="Arial" w:cs="Arial"/>
        </w:rPr>
        <w:t xml:space="preserve"> pari a complessivi Euro </w:t>
      </w:r>
      <w:r w:rsidR="00B327D2">
        <w:rPr>
          <w:rFonts w:ascii="Arial" w:hAnsi="Arial" w:cs="Arial"/>
        </w:rPr>
        <w:t>415.090,16</w:t>
      </w:r>
      <w:r w:rsidR="000F6662">
        <w:rPr>
          <w:rFonts w:ascii="Arial" w:hAnsi="Arial" w:cs="Arial"/>
        </w:rPr>
        <w:t xml:space="preserve">, </w:t>
      </w:r>
      <w:r w:rsidR="00B327D2">
        <w:rPr>
          <w:rFonts w:ascii="Arial" w:hAnsi="Arial" w:cs="Arial"/>
        </w:rPr>
        <w:t>valore molto prossimo a quello rilevato ne</w:t>
      </w:r>
      <w:r w:rsidR="000F6662">
        <w:rPr>
          <w:rFonts w:ascii="Arial" w:hAnsi="Arial" w:cs="Arial"/>
        </w:rPr>
        <w:t xml:space="preserve">ll’esercizio finanziario precedente, </w:t>
      </w:r>
      <w:r w:rsidR="00B327D2">
        <w:rPr>
          <w:rFonts w:ascii="Arial" w:hAnsi="Arial" w:cs="Arial"/>
        </w:rPr>
        <w:t>che era stato pari</w:t>
      </w:r>
      <w:r w:rsidR="000F6662">
        <w:rPr>
          <w:rFonts w:ascii="Arial" w:hAnsi="Arial" w:cs="Arial"/>
        </w:rPr>
        <w:t xml:space="preserve"> </w:t>
      </w:r>
      <w:r w:rsidR="00B327D2">
        <w:rPr>
          <w:rFonts w:ascii="Arial" w:hAnsi="Arial" w:cs="Arial"/>
        </w:rPr>
        <w:t>a</w:t>
      </w:r>
      <w:r w:rsidR="000F6662">
        <w:rPr>
          <w:rFonts w:ascii="Arial" w:hAnsi="Arial" w:cs="Arial"/>
        </w:rPr>
        <w:t xml:space="preserve"> Euro </w:t>
      </w:r>
      <w:r w:rsidR="00B327D2">
        <w:rPr>
          <w:rFonts w:ascii="Arial" w:hAnsi="Arial" w:cs="Arial"/>
        </w:rPr>
        <w:t>414.935,93</w:t>
      </w:r>
      <w:r w:rsidR="00757851">
        <w:rPr>
          <w:rFonts w:ascii="Arial" w:hAnsi="Arial" w:cs="Arial"/>
        </w:rPr>
        <w:t>;</w:t>
      </w:r>
    </w:p>
    <w:p w:rsidR="00757851" w:rsidRDefault="00757851" w:rsidP="00757851">
      <w:pPr>
        <w:pStyle w:val="Paragrafoelenco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Il “Patrimonio Netto” ammonta a Euro </w:t>
      </w:r>
      <w:r w:rsidR="00B327D2">
        <w:rPr>
          <w:rFonts w:ascii="Arial" w:hAnsi="Arial" w:cs="Arial"/>
        </w:rPr>
        <w:t>378.679,10</w:t>
      </w:r>
      <w:r>
        <w:rPr>
          <w:rFonts w:ascii="Arial" w:hAnsi="Arial" w:cs="Arial"/>
        </w:rPr>
        <w:t xml:space="preserve"> ed è costituito dagli avanzi di gestione accumulati nel </w:t>
      </w:r>
      <w:r w:rsidR="0061655C">
        <w:rPr>
          <w:rFonts w:ascii="Arial" w:hAnsi="Arial" w:cs="Arial"/>
        </w:rPr>
        <w:t>corso degli esercizi finanziari;</w:t>
      </w:r>
    </w:p>
    <w:p w:rsidR="0061655C" w:rsidRDefault="0061655C" w:rsidP="00757851">
      <w:pPr>
        <w:pStyle w:val="Paragrafoelenco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Il Fondo T.F.R. ammonta a Euro </w:t>
      </w:r>
      <w:r w:rsidR="00B327D2">
        <w:rPr>
          <w:rFonts w:ascii="Arial" w:hAnsi="Arial" w:cs="Arial"/>
        </w:rPr>
        <w:t>35.453,09</w:t>
      </w:r>
      <w:r w:rsidR="00396E2B">
        <w:rPr>
          <w:rFonts w:ascii="Arial" w:hAnsi="Arial" w:cs="Arial"/>
        </w:rPr>
        <w:t>. Esso rappresenta l’effettivo debito maturato verso i dipendenti in conformità di legge e dei contratti di lavori vigenti, ed è dunque pari a quanto si sarebbe dovuto corrispondere ai dipendenti nell’ipotesi di cessazione del rapporto di lavoro alla data di riferimento del documento;</w:t>
      </w:r>
    </w:p>
    <w:p w:rsidR="00757851" w:rsidRDefault="00757851" w:rsidP="00757851">
      <w:pPr>
        <w:pStyle w:val="Paragrafoelenco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La voce “Debiti e Residui passivi” accoglie i residui passivi, costituiti da somme il cui impegno di spesa è stato assunto entro la chiusura dell’esercizio finanziario senza che ne sia avvenuto il materiale</w:t>
      </w:r>
      <w:r w:rsidR="00F81C1E">
        <w:rPr>
          <w:rFonts w:ascii="Arial" w:hAnsi="Arial" w:cs="Arial"/>
        </w:rPr>
        <w:t xml:space="preserve"> pagamento. Come esplicitato nel documento, son</w:t>
      </w:r>
      <w:r w:rsidR="00B327D2">
        <w:rPr>
          <w:rFonts w:ascii="Arial" w:hAnsi="Arial" w:cs="Arial"/>
        </w:rPr>
        <w:t>o riferiti a fornitori (fatture pagate</w:t>
      </w:r>
      <w:r w:rsidR="00F81C1E">
        <w:rPr>
          <w:rFonts w:ascii="Arial" w:hAnsi="Arial" w:cs="Arial"/>
        </w:rPr>
        <w:t xml:space="preserve"> a gennaio</w:t>
      </w:r>
      <w:r w:rsidR="00006F94">
        <w:rPr>
          <w:rFonts w:ascii="Arial" w:hAnsi="Arial" w:cs="Arial"/>
        </w:rPr>
        <w:t xml:space="preserve"> 202</w:t>
      </w:r>
      <w:r w:rsidR="00B327D2">
        <w:rPr>
          <w:rFonts w:ascii="Arial" w:hAnsi="Arial" w:cs="Arial"/>
        </w:rPr>
        <w:t>5</w:t>
      </w:r>
      <w:r w:rsidR="00F81C1E">
        <w:rPr>
          <w:rFonts w:ascii="Arial" w:hAnsi="Arial" w:cs="Arial"/>
        </w:rPr>
        <w:t>), Erario e Istituti previdenziali relativamente alle pendenze del mese di dicembre 202</w:t>
      </w:r>
      <w:r w:rsidR="00B327D2">
        <w:rPr>
          <w:rFonts w:ascii="Arial" w:hAnsi="Arial" w:cs="Arial"/>
        </w:rPr>
        <w:t>4</w:t>
      </w:r>
      <w:r w:rsidR="00006F94">
        <w:rPr>
          <w:rFonts w:ascii="Arial" w:hAnsi="Arial" w:cs="Arial"/>
        </w:rPr>
        <w:t>, anch’esse saldate a gennaio 202</w:t>
      </w:r>
      <w:r w:rsidR="00B327D2">
        <w:rPr>
          <w:rFonts w:ascii="Arial" w:hAnsi="Arial" w:cs="Arial"/>
        </w:rPr>
        <w:t>5</w:t>
      </w:r>
      <w:r w:rsidR="008661D2">
        <w:rPr>
          <w:rFonts w:ascii="Arial" w:hAnsi="Arial" w:cs="Arial"/>
        </w:rPr>
        <w:t>.</w:t>
      </w:r>
    </w:p>
    <w:p w:rsidR="008661D2" w:rsidRPr="008661D2" w:rsidRDefault="008661D2" w:rsidP="008661D2">
      <w:pPr>
        <w:pStyle w:val="Paragrafoelenco"/>
        <w:rPr>
          <w:rFonts w:ascii="Arial" w:hAnsi="Arial" w:cs="Arial"/>
        </w:rPr>
      </w:pPr>
    </w:p>
    <w:p w:rsidR="008661D2" w:rsidRDefault="008661D2" w:rsidP="008661D2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Cagliari, </w:t>
      </w:r>
      <w:r w:rsidRPr="00B327D2">
        <w:rPr>
          <w:rFonts w:ascii="Arial" w:hAnsi="Arial" w:cs="Arial"/>
          <w:color w:val="FF0000"/>
        </w:rPr>
        <w:t xml:space="preserve">22 </w:t>
      </w:r>
      <w:r>
        <w:rPr>
          <w:rFonts w:ascii="Arial" w:hAnsi="Arial" w:cs="Arial"/>
        </w:rPr>
        <w:t xml:space="preserve">febbraio </w:t>
      </w:r>
      <w:r w:rsidR="00B327D2">
        <w:rPr>
          <w:rFonts w:ascii="Arial" w:hAnsi="Arial" w:cs="Arial"/>
        </w:rPr>
        <w:t>2025</w:t>
      </w:r>
    </w:p>
    <w:p w:rsidR="008661D2" w:rsidRDefault="008661D2" w:rsidP="008661D2">
      <w:pPr>
        <w:ind w:left="360"/>
        <w:jc w:val="both"/>
        <w:rPr>
          <w:rFonts w:ascii="Arial" w:hAnsi="Arial" w:cs="Arial"/>
        </w:rPr>
      </w:pPr>
    </w:p>
    <w:p w:rsidR="008661D2" w:rsidRPr="008661D2" w:rsidRDefault="008661D2" w:rsidP="008661D2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Il Presidente</w:t>
      </w:r>
    </w:p>
    <w:p w:rsidR="00757851" w:rsidRDefault="00757851" w:rsidP="00757851">
      <w:pPr>
        <w:jc w:val="both"/>
        <w:rPr>
          <w:rFonts w:ascii="Arial" w:hAnsi="Arial" w:cs="Arial"/>
        </w:rPr>
      </w:pPr>
    </w:p>
    <w:p w:rsidR="009D1132" w:rsidRPr="009D1132" w:rsidRDefault="001B1A06" w:rsidP="0092171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D00BFF" w:rsidRPr="00937CAB" w:rsidRDefault="00D00BFF" w:rsidP="00937CAB">
      <w:pPr>
        <w:ind w:left="360"/>
        <w:jc w:val="both"/>
        <w:rPr>
          <w:rFonts w:ascii="Arial" w:hAnsi="Arial" w:cs="Arial"/>
        </w:rPr>
      </w:pPr>
    </w:p>
    <w:p w:rsidR="00937CAB" w:rsidRPr="00432970" w:rsidRDefault="00937CAB" w:rsidP="00937CAB">
      <w:pPr>
        <w:jc w:val="both"/>
        <w:rPr>
          <w:rFonts w:ascii="Arial" w:hAnsi="Arial" w:cs="Arial"/>
        </w:rPr>
      </w:pPr>
    </w:p>
    <w:sectPr w:rsidR="00937CAB" w:rsidRPr="00432970" w:rsidSect="00E96E3F">
      <w:headerReference w:type="default" r:id="rId7"/>
      <w:footerReference w:type="default" r:id="rId8"/>
      <w:pgSz w:w="11906" w:h="16838"/>
      <w:pgMar w:top="1417" w:right="1134" w:bottom="1134" w:left="1134" w:header="56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1204" w:rsidRDefault="00AB1204" w:rsidP="0091305D">
      <w:pPr>
        <w:spacing w:after="0" w:line="240" w:lineRule="auto"/>
      </w:pPr>
      <w:r>
        <w:separator/>
      </w:r>
    </w:p>
  </w:endnote>
  <w:endnote w:type="continuationSeparator" w:id="0">
    <w:p w:rsidR="00AB1204" w:rsidRDefault="00AB1204" w:rsidP="00913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1123619"/>
      <w:docPartObj>
        <w:docPartGallery w:val="Page Numbers (Bottom of Page)"/>
        <w:docPartUnique/>
      </w:docPartObj>
    </w:sdtPr>
    <w:sdtEndPr/>
    <w:sdtContent>
      <w:p w:rsidR="00AF0A17" w:rsidRDefault="00AF0A17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01BA">
          <w:rPr>
            <w:noProof/>
          </w:rPr>
          <w:t>7</w:t>
        </w:r>
        <w:r>
          <w:fldChar w:fldCharType="end"/>
        </w:r>
      </w:p>
    </w:sdtContent>
  </w:sdt>
  <w:p w:rsidR="00AF0A17" w:rsidRDefault="00AF0A1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1204" w:rsidRDefault="00AB1204" w:rsidP="0091305D">
      <w:pPr>
        <w:spacing w:after="0" w:line="240" w:lineRule="auto"/>
      </w:pPr>
      <w:r>
        <w:separator/>
      </w:r>
    </w:p>
  </w:footnote>
  <w:footnote w:type="continuationSeparator" w:id="0">
    <w:p w:rsidR="00AB1204" w:rsidRDefault="00AB1204" w:rsidP="009130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0A17" w:rsidRPr="004B7466" w:rsidRDefault="00AF0A17" w:rsidP="00814BC4">
    <w:pPr>
      <w:rPr>
        <w:sz w:val="4"/>
        <w:szCs w:val="4"/>
      </w:rPr>
    </w:pPr>
    <w:r w:rsidRPr="004B7466">
      <w:rPr>
        <w:noProof/>
        <w:sz w:val="4"/>
        <w:szCs w:val="4"/>
        <w:lang w:eastAsia="it-IT"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column">
            <wp:posOffset>-26670</wp:posOffset>
          </wp:positionH>
          <wp:positionV relativeFrom="paragraph">
            <wp:posOffset>-61595</wp:posOffset>
          </wp:positionV>
          <wp:extent cx="899160" cy="937260"/>
          <wp:effectExtent l="0" t="0" r="0" b="0"/>
          <wp:wrapTight wrapText="bothSides">
            <wp:wrapPolygon edited="0">
              <wp:start x="0" y="1756"/>
              <wp:lineTo x="0" y="21073"/>
              <wp:lineTo x="21051" y="21073"/>
              <wp:lineTo x="21051" y="1756"/>
              <wp:lineTo x="0" y="1756"/>
            </wp:wrapPolygon>
          </wp:wrapTight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4001" r="83066"/>
                  <a:stretch>
                    <a:fillRect/>
                  </a:stretch>
                </pic:blipFill>
                <pic:spPr bwMode="auto">
                  <a:xfrm>
                    <a:off x="0" y="0"/>
                    <a:ext cx="89916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F0A17" w:rsidRPr="00BA72FB" w:rsidRDefault="00AF0A17" w:rsidP="00BC7FDA">
    <w:pPr>
      <w:tabs>
        <w:tab w:val="left" w:pos="749"/>
      </w:tabs>
      <w:rPr>
        <w:sz w:val="10"/>
        <w:szCs w:val="10"/>
      </w:rPr>
    </w:pPr>
    <w:r>
      <w:rPr>
        <w:sz w:val="10"/>
        <w:szCs w:val="10"/>
      </w:rPr>
      <w:tab/>
    </w:r>
  </w:p>
  <w:p w:rsidR="00AF0A17" w:rsidRPr="00342E9D" w:rsidRDefault="00AF0A17" w:rsidP="00BC7FDA">
    <w:pPr>
      <w:rPr>
        <w:sz w:val="16"/>
        <w:szCs w:val="16"/>
      </w:rPr>
    </w:pPr>
  </w:p>
  <w:p w:rsidR="00AF0A17" w:rsidRPr="00814BC4" w:rsidRDefault="00AF0A17" w:rsidP="0091305D">
    <w:pPr>
      <w:jc w:val="right"/>
      <w:rPr>
        <w:sz w:val="14"/>
        <w:szCs w:val="14"/>
      </w:rPr>
    </w:pPr>
    <w:r w:rsidRPr="00814BC4">
      <w:rPr>
        <w:rFonts w:ascii="Arial" w:hAnsi="Arial" w:cs="Arial"/>
        <w:b/>
        <w:i/>
        <w:sz w:val="14"/>
        <w:szCs w:val="14"/>
      </w:rPr>
      <w:t>Rendiconto consu</w:t>
    </w:r>
    <w:r>
      <w:rPr>
        <w:rFonts w:ascii="Arial" w:hAnsi="Arial" w:cs="Arial"/>
        <w:b/>
        <w:i/>
        <w:sz w:val="14"/>
        <w:szCs w:val="14"/>
      </w:rPr>
      <w:t>ntivo esercizio finanziario 2024</w:t>
    </w:r>
  </w:p>
  <w:p w:rsidR="00AF0A17" w:rsidRDefault="00AF0A1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BC0192"/>
    <w:multiLevelType w:val="hybridMultilevel"/>
    <w:tmpl w:val="CA4A0AF0"/>
    <w:lvl w:ilvl="0" w:tplc="D7927F28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" w15:restartNumberingAfterBreak="0">
    <w:nsid w:val="38137104"/>
    <w:multiLevelType w:val="hybridMultilevel"/>
    <w:tmpl w:val="6F348E22"/>
    <w:lvl w:ilvl="0" w:tplc="0410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3C76463D"/>
    <w:multiLevelType w:val="hybridMultilevel"/>
    <w:tmpl w:val="26A26ED0"/>
    <w:lvl w:ilvl="0" w:tplc="0410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F9114F2"/>
    <w:multiLevelType w:val="hybridMultilevel"/>
    <w:tmpl w:val="7F7EA44A"/>
    <w:lvl w:ilvl="0" w:tplc="D7F8F7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0671D9"/>
    <w:multiLevelType w:val="hybridMultilevel"/>
    <w:tmpl w:val="6824C8F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D79"/>
    <w:rsid w:val="00006F94"/>
    <w:rsid w:val="00065AAE"/>
    <w:rsid w:val="000F6662"/>
    <w:rsid w:val="00165F35"/>
    <w:rsid w:val="001B1A06"/>
    <w:rsid w:val="001D7935"/>
    <w:rsid w:val="002423BB"/>
    <w:rsid w:val="00292301"/>
    <w:rsid w:val="00294EF0"/>
    <w:rsid w:val="002D6044"/>
    <w:rsid w:val="00342990"/>
    <w:rsid w:val="00362212"/>
    <w:rsid w:val="00371DDC"/>
    <w:rsid w:val="00396E2B"/>
    <w:rsid w:val="003F23D8"/>
    <w:rsid w:val="004136D6"/>
    <w:rsid w:val="00432970"/>
    <w:rsid w:val="00444748"/>
    <w:rsid w:val="004501BA"/>
    <w:rsid w:val="00493493"/>
    <w:rsid w:val="004D2F6D"/>
    <w:rsid w:val="00556C54"/>
    <w:rsid w:val="00574F5B"/>
    <w:rsid w:val="00591D40"/>
    <w:rsid w:val="00592527"/>
    <w:rsid w:val="005E6917"/>
    <w:rsid w:val="005F189A"/>
    <w:rsid w:val="0061655C"/>
    <w:rsid w:val="00625EA2"/>
    <w:rsid w:val="00636C96"/>
    <w:rsid w:val="00684DF1"/>
    <w:rsid w:val="006F3F44"/>
    <w:rsid w:val="006F747D"/>
    <w:rsid w:val="007549DE"/>
    <w:rsid w:val="00757851"/>
    <w:rsid w:val="00757F4B"/>
    <w:rsid w:val="007638D5"/>
    <w:rsid w:val="007C52E8"/>
    <w:rsid w:val="007F7FFB"/>
    <w:rsid w:val="00814BC4"/>
    <w:rsid w:val="008548D8"/>
    <w:rsid w:val="00861A79"/>
    <w:rsid w:val="008661D2"/>
    <w:rsid w:val="0088722D"/>
    <w:rsid w:val="008E21DD"/>
    <w:rsid w:val="0090245B"/>
    <w:rsid w:val="00912325"/>
    <w:rsid w:val="0091305D"/>
    <w:rsid w:val="0092171B"/>
    <w:rsid w:val="00937CAB"/>
    <w:rsid w:val="00967650"/>
    <w:rsid w:val="009C6975"/>
    <w:rsid w:val="009C7233"/>
    <w:rsid w:val="009D1132"/>
    <w:rsid w:val="009D7D0A"/>
    <w:rsid w:val="00A44898"/>
    <w:rsid w:val="00A45B40"/>
    <w:rsid w:val="00A64328"/>
    <w:rsid w:val="00A6762B"/>
    <w:rsid w:val="00AB1204"/>
    <w:rsid w:val="00AB361F"/>
    <w:rsid w:val="00AC1D79"/>
    <w:rsid w:val="00AC557B"/>
    <w:rsid w:val="00AF0A17"/>
    <w:rsid w:val="00AF204A"/>
    <w:rsid w:val="00B04157"/>
    <w:rsid w:val="00B10C1C"/>
    <w:rsid w:val="00B327D2"/>
    <w:rsid w:val="00B40964"/>
    <w:rsid w:val="00B63275"/>
    <w:rsid w:val="00B72557"/>
    <w:rsid w:val="00B90375"/>
    <w:rsid w:val="00B910B1"/>
    <w:rsid w:val="00BA781A"/>
    <w:rsid w:val="00BC7FDA"/>
    <w:rsid w:val="00C17D87"/>
    <w:rsid w:val="00C2211D"/>
    <w:rsid w:val="00C257AB"/>
    <w:rsid w:val="00C367C7"/>
    <w:rsid w:val="00C51705"/>
    <w:rsid w:val="00C755E0"/>
    <w:rsid w:val="00C955A5"/>
    <w:rsid w:val="00CA37F7"/>
    <w:rsid w:val="00CA6BA6"/>
    <w:rsid w:val="00D00BFF"/>
    <w:rsid w:val="00D12A0B"/>
    <w:rsid w:val="00D819CE"/>
    <w:rsid w:val="00D936B9"/>
    <w:rsid w:val="00DD0D6E"/>
    <w:rsid w:val="00E96E3F"/>
    <w:rsid w:val="00F1161D"/>
    <w:rsid w:val="00F73B94"/>
    <w:rsid w:val="00F81C1E"/>
    <w:rsid w:val="00FC493F"/>
    <w:rsid w:val="00FC5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69FC7D"/>
  <w15:chartTrackingRefBased/>
  <w15:docId w15:val="{699135E5-4AFA-452C-A6DD-825578218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F7FFB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91305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1305D"/>
  </w:style>
  <w:style w:type="paragraph" w:styleId="Pidipagina">
    <w:name w:val="footer"/>
    <w:basedOn w:val="Normale"/>
    <w:link w:val="PidipaginaCarattere"/>
    <w:uiPriority w:val="99"/>
    <w:unhideWhenUsed/>
    <w:rsid w:val="0091305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130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6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Pages>7</Pages>
  <Words>1849</Words>
  <Characters>10544</Characters>
  <Application>Microsoft Office Word</Application>
  <DocSecurity>0</DocSecurity>
  <Lines>87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</dc:creator>
  <cp:keywords/>
  <dc:description/>
  <cp:lastModifiedBy>Giuseppe</cp:lastModifiedBy>
  <cp:revision>17</cp:revision>
  <cp:lastPrinted>2024-02-16T18:00:00Z</cp:lastPrinted>
  <dcterms:created xsi:type="dcterms:W3CDTF">2025-02-07T18:10:00Z</dcterms:created>
  <dcterms:modified xsi:type="dcterms:W3CDTF">2025-02-11T11:06:00Z</dcterms:modified>
</cp:coreProperties>
</file>